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EF" w:rsidRDefault="002C7BEF">
      <w:pPr>
        <w:pStyle w:val="TOCHeading"/>
      </w:pPr>
      <w:bookmarkStart w:id="0" w:name="_GoBack"/>
      <w:bookmarkEnd w:id="0"/>
    </w:p>
    <w:sdt>
      <w:sdtPr>
        <w:rPr>
          <w:rFonts w:asciiTheme="minorHAnsi" w:eastAsiaTheme="minorHAnsi" w:hAnsiTheme="minorHAnsi" w:cstheme="minorBidi"/>
          <w:b w:val="0"/>
          <w:bCs w:val="0"/>
          <w:sz w:val="22"/>
          <w:szCs w:val="22"/>
        </w:rPr>
        <w:id w:val="-1464426114"/>
        <w:docPartObj>
          <w:docPartGallery w:val="Table of Contents"/>
          <w:docPartUnique/>
        </w:docPartObj>
      </w:sdtPr>
      <w:sdtEndPr/>
      <w:sdtContent>
        <w:p w:rsidR="002C7BEF" w:rsidRDefault="00BD037B">
          <w:pPr>
            <w:pStyle w:val="TOAHeading"/>
            <w:rPr>
              <w:rFonts w:hint="eastAsia"/>
            </w:rPr>
          </w:pPr>
          <w:r>
            <w:t>Contents</w:t>
          </w:r>
        </w:p>
        <w:p w:rsidR="002E192B" w:rsidRDefault="00BD037B">
          <w:pPr>
            <w:pStyle w:val="TOC1"/>
            <w:tabs>
              <w:tab w:val="right" w:leader="dot" w:pos="9350"/>
            </w:tabs>
            <w:rPr>
              <w:rFonts w:eastAsiaTheme="minorEastAsia"/>
              <w:noProof/>
              <w:lang w:eastAsia="en-CA"/>
            </w:rPr>
          </w:pPr>
          <w:r>
            <w:fldChar w:fldCharType="begin"/>
          </w:r>
          <w:r>
            <w:rPr>
              <w:rStyle w:val="IndexLink"/>
              <w:webHidden/>
            </w:rPr>
            <w:instrText>TOC \z \o "1-2" \u \h</w:instrText>
          </w:r>
          <w:r>
            <w:rPr>
              <w:rStyle w:val="IndexLink"/>
            </w:rPr>
            <w:fldChar w:fldCharType="separate"/>
          </w:r>
          <w:hyperlink w:anchor="_Toc42610401" w:history="1">
            <w:r w:rsidR="002E192B" w:rsidRPr="00CC278C">
              <w:rPr>
                <w:rStyle w:val="Hyperlink"/>
                <w:noProof/>
                <w:lang w:val="fr-FR"/>
              </w:rPr>
              <w:t>Introduction</w:t>
            </w:r>
            <w:r w:rsidR="002E192B">
              <w:rPr>
                <w:noProof/>
                <w:webHidden/>
              </w:rPr>
              <w:tab/>
            </w:r>
            <w:r w:rsidR="002E192B">
              <w:rPr>
                <w:noProof/>
                <w:webHidden/>
              </w:rPr>
              <w:fldChar w:fldCharType="begin"/>
            </w:r>
            <w:r w:rsidR="002E192B">
              <w:rPr>
                <w:noProof/>
                <w:webHidden/>
              </w:rPr>
              <w:instrText xml:space="preserve"> PAGEREF _Toc42610401 \h </w:instrText>
            </w:r>
            <w:r w:rsidR="002E192B">
              <w:rPr>
                <w:noProof/>
                <w:webHidden/>
              </w:rPr>
            </w:r>
            <w:r w:rsidR="002E192B">
              <w:rPr>
                <w:noProof/>
                <w:webHidden/>
              </w:rPr>
              <w:fldChar w:fldCharType="separate"/>
            </w:r>
            <w:r w:rsidR="002E192B">
              <w:rPr>
                <w:noProof/>
                <w:webHidden/>
              </w:rPr>
              <w:t>1</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02" w:history="1">
            <w:r w:rsidR="002E192B" w:rsidRPr="00CC278C">
              <w:rPr>
                <w:rStyle w:val="Hyperlink"/>
                <w:noProof/>
                <w:lang w:val="fr-FR"/>
              </w:rPr>
              <w:t>Qu’est-ce que SDMX?</w:t>
            </w:r>
            <w:r w:rsidR="002E192B">
              <w:rPr>
                <w:noProof/>
                <w:webHidden/>
              </w:rPr>
              <w:tab/>
            </w:r>
            <w:r w:rsidR="002E192B">
              <w:rPr>
                <w:noProof/>
                <w:webHidden/>
              </w:rPr>
              <w:fldChar w:fldCharType="begin"/>
            </w:r>
            <w:r w:rsidR="002E192B">
              <w:rPr>
                <w:noProof/>
                <w:webHidden/>
              </w:rPr>
              <w:instrText xml:space="preserve"> PAGEREF _Toc42610402 \h </w:instrText>
            </w:r>
            <w:r w:rsidR="002E192B">
              <w:rPr>
                <w:noProof/>
                <w:webHidden/>
              </w:rPr>
            </w:r>
            <w:r w:rsidR="002E192B">
              <w:rPr>
                <w:noProof/>
                <w:webHidden/>
              </w:rPr>
              <w:fldChar w:fldCharType="separate"/>
            </w:r>
            <w:r w:rsidR="002E192B">
              <w:rPr>
                <w:noProof/>
                <w:webHidden/>
              </w:rPr>
              <w:t>2</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03" w:history="1">
            <w:r w:rsidR="002E192B" w:rsidRPr="00CC278C">
              <w:rPr>
                <w:rStyle w:val="Hyperlink"/>
                <w:noProof/>
                <w:lang w:val="fr-FR"/>
              </w:rPr>
              <w:t>Le modèle d’information SDMX en quelques lignes</w:t>
            </w:r>
            <w:r w:rsidR="002E192B">
              <w:rPr>
                <w:noProof/>
                <w:webHidden/>
              </w:rPr>
              <w:tab/>
            </w:r>
            <w:r w:rsidR="002E192B">
              <w:rPr>
                <w:noProof/>
                <w:webHidden/>
              </w:rPr>
              <w:fldChar w:fldCharType="begin"/>
            </w:r>
            <w:r w:rsidR="002E192B">
              <w:rPr>
                <w:noProof/>
                <w:webHidden/>
              </w:rPr>
              <w:instrText xml:space="preserve"> PAGEREF _Toc42610403 \h </w:instrText>
            </w:r>
            <w:r w:rsidR="002E192B">
              <w:rPr>
                <w:noProof/>
                <w:webHidden/>
              </w:rPr>
            </w:r>
            <w:r w:rsidR="002E192B">
              <w:rPr>
                <w:noProof/>
                <w:webHidden/>
              </w:rPr>
              <w:fldChar w:fldCharType="separate"/>
            </w:r>
            <w:r w:rsidR="002E192B">
              <w:rPr>
                <w:noProof/>
                <w:webHidden/>
              </w:rPr>
              <w:t>2</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04" w:history="1">
            <w:r w:rsidR="002E192B" w:rsidRPr="00CC278C">
              <w:rPr>
                <w:rStyle w:val="Hyperlink"/>
                <w:noProof/>
                <w:lang w:val="fr-FR"/>
              </w:rPr>
              <w:t>Les divers formats SDMX-ML</w:t>
            </w:r>
            <w:r w:rsidR="002E192B">
              <w:rPr>
                <w:noProof/>
                <w:webHidden/>
              </w:rPr>
              <w:tab/>
            </w:r>
            <w:r w:rsidR="002E192B">
              <w:rPr>
                <w:noProof/>
                <w:webHidden/>
              </w:rPr>
              <w:fldChar w:fldCharType="begin"/>
            </w:r>
            <w:r w:rsidR="002E192B">
              <w:rPr>
                <w:noProof/>
                <w:webHidden/>
              </w:rPr>
              <w:instrText xml:space="preserve"> PAGEREF _Toc42610404 \h </w:instrText>
            </w:r>
            <w:r w:rsidR="002E192B">
              <w:rPr>
                <w:noProof/>
                <w:webHidden/>
              </w:rPr>
            </w:r>
            <w:r w:rsidR="002E192B">
              <w:rPr>
                <w:noProof/>
                <w:webHidden/>
              </w:rPr>
              <w:fldChar w:fldCharType="separate"/>
            </w:r>
            <w:r w:rsidR="002E192B">
              <w:rPr>
                <w:noProof/>
                <w:webHidden/>
              </w:rPr>
              <w:t>3</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05" w:history="1">
            <w:r w:rsidR="002E192B" w:rsidRPr="00CC278C">
              <w:rPr>
                <w:rStyle w:val="Hyperlink"/>
                <w:noProof/>
                <w:lang w:val="fr-FR"/>
              </w:rPr>
              <w:t>Service Web de données SDMX (cube)</w:t>
            </w:r>
            <w:r w:rsidR="002E192B">
              <w:rPr>
                <w:noProof/>
                <w:webHidden/>
              </w:rPr>
              <w:tab/>
            </w:r>
            <w:r w:rsidR="002E192B">
              <w:rPr>
                <w:noProof/>
                <w:webHidden/>
              </w:rPr>
              <w:fldChar w:fldCharType="begin"/>
            </w:r>
            <w:r w:rsidR="002E192B">
              <w:rPr>
                <w:noProof/>
                <w:webHidden/>
              </w:rPr>
              <w:instrText xml:space="preserve"> PAGEREF _Toc42610405 \h </w:instrText>
            </w:r>
            <w:r w:rsidR="002E192B">
              <w:rPr>
                <w:noProof/>
                <w:webHidden/>
              </w:rPr>
            </w:r>
            <w:r w:rsidR="002E192B">
              <w:rPr>
                <w:noProof/>
                <w:webHidden/>
              </w:rPr>
              <w:fldChar w:fldCharType="separate"/>
            </w:r>
            <w:r w:rsidR="002E192B">
              <w:rPr>
                <w:noProof/>
                <w:webHidden/>
              </w:rPr>
              <w:t>4</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06" w:history="1">
            <w:r w:rsidR="002E192B" w:rsidRPr="00CC278C">
              <w:rPr>
                <w:rStyle w:val="Hyperlink"/>
                <w:noProof/>
                <w:lang w:val="fr-FR"/>
              </w:rPr>
              <w:t>Définition de la syntaxe</w:t>
            </w:r>
            <w:r w:rsidR="002E192B">
              <w:rPr>
                <w:noProof/>
                <w:webHidden/>
              </w:rPr>
              <w:tab/>
            </w:r>
            <w:r w:rsidR="002E192B">
              <w:rPr>
                <w:noProof/>
                <w:webHidden/>
              </w:rPr>
              <w:fldChar w:fldCharType="begin"/>
            </w:r>
            <w:r w:rsidR="002E192B">
              <w:rPr>
                <w:noProof/>
                <w:webHidden/>
              </w:rPr>
              <w:instrText xml:space="preserve"> PAGEREF _Toc42610406 \h </w:instrText>
            </w:r>
            <w:r w:rsidR="002E192B">
              <w:rPr>
                <w:noProof/>
                <w:webHidden/>
              </w:rPr>
            </w:r>
            <w:r w:rsidR="002E192B">
              <w:rPr>
                <w:noProof/>
                <w:webHidden/>
              </w:rPr>
              <w:fldChar w:fldCharType="separate"/>
            </w:r>
            <w:r w:rsidR="002E192B">
              <w:rPr>
                <w:noProof/>
                <w:webHidden/>
              </w:rPr>
              <w:t>4</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07" w:history="1">
            <w:r w:rsidR="002E192B" w:rsidRPr="00CC278C">
              <w:rPr>
                <w:rStyle w:val="Hyperlink"/>
                <w:noProof/>
              </w:rPr>
              <w:t>Exemples</w:t>
            </w:r>
            <w:r w:rsidR="002E192B">
              <w:rPr>
                <w:noProof/>
                <w:webHidden/>
              </w:rPr>
              <w:tab/>
            </w:r>
            <w:r w:rsidR="002E192B">
              <w:rPr>
                <w:noProof/>
                <w:webHidden/>
              </w:rPr>
              <w:fldChar w:fldCharType="begin"/>
            </w:r>
            <w:r w:rsidR="002E192B">
              <w:rPr>
                <w:noProof/>
                <w:webHidden/>
              </w:rPr>
              <w:instrText xml:space="preserve"> PAGEREF _Toc42610407 \h </w:instrText>
            </w:r>
            <w:r w:rsidR="002E192B">
              <w:rPr>
                <w:noProof/>
                <w:webHidden/>
              </w:rPr>
            </w:r>
            <w:r w:rsidR="002E192B">
              <w:rPr>
                <w:noProof/>
                <w:webHidden/>
              </w:rPr>
              <w:fldChar w:fldCharType="separate"/>
            </w:r>
            <w:r w:rsidR="002E192B">
              <w:rPr>
                <w:noProof/>
                <w:webHidden/>
              </w:rPr>
              <w:t>6</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08" w:history="1">
            <w:r w:rsidR="002E192B" w:rsidRPr="00CC278C">
              <w:rPr>
                <w:rStyle w:val="Hyperlink"/>
                <w:noProof/>
                <w:lang w:val="fr-FR"/>
              </w:rPr>
              <w:t>Service Web de données SDMX (vecteur)</w:t>
            </w:r>
            <w:r w:rsidR="002E192B">
              <w:rPr>
                <w:noProof/>
                <w:webHidden/>
              </w:rPr>
              <w:tab/>
            </w:r>
            <w:r w:rsidR="002E192B">
              <w:rPr>
                <w:noProof/>
                <w:webHidden/>
              </w:rPr>
              <w:fldChar w:fldCharType="begin"/>
            </w:r>
            <w:r w:rsidR="002E192B">
              <w:rPr>
                <w:noProof/>
                <w:webHidden/>
              </w:rPr>
              <w:instrText xml:space="preserve"> PAGEREF _Toc42610408 \h </w:instrText>
            </w:r>
            <w:r w:rsidR="002E192B">
              <w:rPr>
                <w:noProof/>
                <w:webHidden/>
              </w:rPr>
            </w:r>
            <w:r w:rsidR="002E192B">
              <w:rPr>
                <w:noProof/>
                <w:webHidden/>
              </w:rPr>
              <w:fldChar w:fldCharType="separate"/>
            </w:r>
            <w:r w:rsidR="002E192B">
              <w:rPr>
                <w:noProof/>
                <w:webHidden/>
              </w:rPr>
              <w:t>8</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09" w:history="1">
            <w:r w:rsidR="002E192B" w:rsidRPr="00CC278C">
              <w:rPr>
                <w:rStyle w:val="Hyperlink"/>
                <w:noProof/>
                <w:lang w:val="fr-FR"/>
              </w:rPr>
              <w:t>Définition de la syntaxe</w:t>
            </w:r>
            <w:r w:rsidR="002E192B">
              <w:rPr>
                <w:noProof/>
                <w:webHidden/>
              </w:rPr>
              <w:tab/>
            </w:r>
            <w:r w:rsidR="002E192B">
              <w:rPr>
                <w:noProof/>
                <w:webHidden/>
              </w:rPr>
              <w:fldChar w:fldCharType="begin"/>
            </w:r>
            <w:r w:rsidR="002E192B">
              <w:rPr>
                <w:noProof/>
                <w:webHidden/>
              </w:rPr>
              <w:instrText xml:space="preserve"> PAGEREF _Toc42610409 \h </w:instrText>
            </w:r>
            <w:r w:rsidR="002E192B">
              <w:rPr>
                <w:noProof/>
                <w:webHidden/>
              </w:rPr>
            </w:r>
            <w:r w:rsidR="002E192B">
              <w:rPr>
                <w:noProof/>
                <w:webHidden/>
              </w:rPr>
              <w:fldChar w:fldCharType="separate"/>
            </w:r>
            <w:r w:rsidR="002E192B">
              <w:rPr>
                <w:noProof/>
                <w:webHidden/>
              </w:rPr>
              <w:t>8</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10" w:history="1">
            <w:r w:rsidR="002E192B" w:rsidRPr="00CC278C">
              <w:rPr>
                <w:rStyle w:val="Hyperlink"/>
                <w:noProof/>
              </w:rPr>
              <w:t>Exemples</w:t>
            </w:r>
            <w:r w:rsidR="002E192B">
              <w:rPr>
                <w:noProof/>
                <w:webHidden/>
              </w:rPr>
              <w:tab/>
            </w:r>
            <w:r w:rsidR="002E192B">
              <w:rPr>
                <w:noProof/>
                <w:webHidden/>
              </w:rPr>
              <w:fldChar w:fldCharType="begin"/>
            </w:r>
            <w:r w:rsidR="002E192B">
              <w:rPr>
                <w:noProof/>
                <w:webHidden/>
              </w:rPr>
              <w:instrText xml:space="preserve"> PAGEREF _Toc42610410 \h </w:instrText>
            </w:r>
            <w:r w:rsidR="002E192B">
              <w:rPr>
                <w:noProof/>
                <w:webHidden/>
              </w:rPr>
            </w:r>
            <w:r w:rsidR="002E192B">
              <w:rPr>
                <w:noProof/>
                <w:webHidden/>
              </w:rPr>
              <w:fldChar w:fldCharType="separate"/>
            </w:r>
            <w:r w:rsidR="002E192B">
              <w:rPr>
                <w:noProof/>
                <w:webHidden/>
              </w:rPr>
              <w:t>9</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1" w:history="1">
            <w:r w:rsidR="002E192B" w:rsidRPr="00CC278C">
              <w:rPr>
                <w:rStyle w:val="Hyperlink"/>
                <w:noProof/>
                <w:lang w:val="fr-FR"/>
              </w:rPr>
              <w:t>Service Web de métadonnées SDMX (structure)</w:t>
            </w:r>
            <w:r w:rsidR="002E192B">
              <w:rPr>
                <w:noProof/>
                <w:webHidden/>
              </w:rPr>
              <w:tab/>
            </w:r>
            <w:r w:rsidR="002E192B">
              <w:rPr>
                <w:noProof/>
                <w:webHidden/>
              </w:rPr>
              <w:fldChar w:fldCharType="begin"/>
            </w:r>
            <w:r w:rsidR="002E192B">
              <w:rPr>
                <w:noProof/>
                <w:webHidden/>
              </w:rPr>
              <w:instrText xml:space="preserve"> PAGEREF _Toc42610411 \h </w:instrText>
            </w:r>
            <w:r w:rsidR="002E192B">
              <w:rPr>
                <w:noProof/>
                <w:webHidden/>
              </w:rPr>
            </w:r>
            <w:r w:rsidR="002E192B">
              <w:rPr>
                <w:noProof/>
                <w:webHidden/>
              </w:rPr>
              <w:fldChar w:fldCharType="separate"/>
            </w:r>
            <w:r w:rsidR="002E192B">
              <w:rPr>
                <w:noProof/>
                <w:webHidden/>
              </w:rPr>
              <w:t>10</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2" w:history="1">
            <w:r w:rsidR="002E192B" w:rsidRPr="00CC278C">
              <w:rPr>
                <w:rStyle w:val="Hyperlink"/>
                <w:noProof/>
                <w:lang w:val="fr-FR"/>
              </w:rPr>
              <w:t>Négociation de contenu</w:t>
            </w:r>
            <w:r w:rsidR="002E192B">
              <w:rPr>
                <w:noProof/>
                <w:webHidden/>
              </w:rPr>
              <w:tab/>
            </w:r>
            <w:r w:rsidR="002E192B">
              <w:rPr>
                <w:noProof/>
                <w:webHidden/>
              </w:rPr>
              <w:fldChar w:fldCharType="begin"/>
            </w:r>
            <w:r w:rsidR="002E192B">
              <w:rPr>
                <w:noProof/>
                <w:webHidden/>
              </w:rPr>
              <w:instrText xml:space="preserve"> PAGEREF _Toc42610412 \h </w:instrText>
            </w:r>
            <w:r w:rsidR="002E192B">
              <w:rPr>
                <w:noProof/>
                <w:webHidden/>
              </w:rPr>
            </w:r>
            <w:r w:rsidR="002E192B">
              <w:rPr>
                <w:noProof/>
                <w:webHidden/>
              </w:rPr>
              <w:fldChar w:fldCharType="separate"/>
            </w:r>
            <w:r w:rsidR="002E192B">
              <w:rPr>
                <w:noProof/>
                <w:webHidden/>
              </w:rPr>
              <w:t>10</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13" w:history="1">
            <w:r w:rsidR="002E192B" w:rsidRPr="00CC278C">
              <w:rPr>
                <w:rStyle w:val="Hyperlink"/>
                <w:noProof/>
                <w:lang w:val="fr-FR"/>
              </w:rPr>
              <w:t>Sélection du format</w:t>
            </w:r>
            <w:r w:rsidR="002E192B">
              <w:rPr>
                <w:noProof/>
                <w:webHidden/>
              </w:rPr>
              <w:tab/>
            </w:r>
            <w:r w:rsidR="002E192B">
              <w:rPr>
                <w:noProof/>
                <w:webHidden/>
              </w:rPr>
              <w:fldChar w:fldCharType="begin"/>
            </w:r>
            <w:r w:rsidR="002E192B">
              <w:rPr>
                <w:noProof/>
                <w:webHidden/>
              </w:rPr>
              <w:instrText xml:space="preserve"> PAGEREF _Toc42610413 \h </w:instrText>
            </w:r>
            <w:r w:rsidR="002E192B">
              <w:rPr>
                <w:noProof/>
                <w:webHidden/>
              </w:rPr>
            </w:r>
            <w:r w:rsidR="002E192B">
              <w:rPr>
                <w:noProof/>
                <w:webHidden/>
              </w:rPr>
              <w:fldChar w:fldCharType="separate"/>
            </w:r>
            <w:r w:rsidR="002E192B">
              <w:rPr>
                <w:noProof/>
                <w:webHidden/>
              </w:rPr>
              <w:t>10</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14" w:history="1">
            <w:r w:rsidR="002E192B" w:rsidRPr="00CC278C">
              <w:rPr>
                <w:rStyle w:val="Hyperlink"/>
                <w:noProof/>
                <w:lang w:val="fr-FR"/>
              </w:rPr>
              <w:t>Compression des résultats</w:t>
            </w:r>
            <w:r w:rsidR="002E192B">
              <w:rPr>
                <w:noProof/>
                <w:webHidden/>
              </w:rPr>
              <w:tab/>
            </w:r>
            <w:r w:rsidR="002E192B">
              <w:rPr>
                <w:noProof/>
                <w:webHidden/>
              </w:rPr>
              <w:fldChar w:fldCharType="begin"/>
            </w:r>
            <w:r w:rsidR="002E192B">
              <w:rPr>
                <w:noProof/>
                <w:webHidden/>
              </w:rPr>
              <w:instrText xml:space="preserve"> PAGEREF _Toc42610414 \h </w:instrText>
            </w:r>
            <w:r w:rsidR="002E192B">
              <w:rPr>
                <w:noProof/>
                <w:webHidden/>
              </w:rPr>
            </w:r>
            <w:r w:rsidR="002E192B">
              <w:rPr>
                <w:noProof/>
                <w:webHidden/>
              </w:rPr>
              <w:fldChar w:fldCharType="separate"/>
            </w:r>
            <w:r w:rsidR="002E192B">
              <w:rPr>
                <w:noProof/>
                <w:webHidden/>
              </w:rPr>
              <w:t>11</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5" w:history="1">
            <w:r w:rsidR="002E192B" w:rsidRPr="00CC278C">
              <w:rPr>
                <w:rStyle w:val="Hyperlink"/>
                <w:noProof/>
                <w:lang w:val="fr-FR"/>
              </w:rPr>
              <w:t>Codes d’état</w:t>
            </w:r>
            <w:r w:rsidR="002E192B">
              <w:rPr>
                <w:noProof/>
                <w:webHidden/>
              </w:rPr>
              <w:tab/>
            </w:r>
            <w:r w:rsidR="002E192B">
              <w:rPr>
                <w:noProof/>
                <w:webHidden/>
              </w:rPr>
              <w:fldChar w:fldCharType="begin"/>
            </w:r>
            <w:r w:rsidR="002E192B">
              <w:rPr>
                <w:noProof/>
                <w:webHidden/>
              </w:rPr>
              <w:instrText xml:space="preserve"> PAGEREF _Toc42610415 \h </w:instrText>
            </w:r>
            <w:r w:rsidR="002E192B">
              <w:rPr>
                <w:noProof/>
                <w:webHidden/>
              </w:rPr>
            </w:r>
            <w:r w:rsidR="002E192B">
              <w:rPr>
                <w:noProof/>
                <w:webHidden/>
              </w:rPr>
              <w:fldChar w:fldCharType="separate"/>
            </w:r>
            <w:r w:rsidR="002E192B">
              <w:rPr>
                <w:noProof/>
                <w:webHidden/>
              </w:rPr>
              <w:t>11</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6" w:history="1">
            <w:r w:rsidR="002E192B" w:rsidRPr="00CC278C">
              <w:rPr>
                <w:rStyle w:val="Hyperlink"/>
                <w:noProof/>
              </w:rPr>
              <w:t>Conseils utiles</w:t>
            </w:r>
            <w:r w:rsidR="002E192B">
              <w:rPr>
                <w:noProof/>
                <w:webHidden/>
              </w:rPr>
              <w:tab/>
            </w:r>
            <w:r w:rsidR="002E192B">
              <w:rPr>
                <w:noProof/>
                <w:webHidden/>
              </w:rPr>
              <w:fldChar w:fldCharType="begin"/>
            </w:r>
            <w:r w:rsidR="002E192B">
              <w:rPr>
                <w:noProof/>
                <w:webHidden/>
              </w:rPr>
              <w:instrText xml:space="preserve"> PAGEREF _Toc42610416 \h </w:instrText>
            </w:r>
            <w:r w:rsidR="002E192B">
              <w:rPr>
                <w:noProof/>
                <w:webHidden/>
              </w:rPr>
            </w:r>
            <w:r w:rsidR="002E192B">
              <w:rPr>
                <w:noProof/>
                <w:webHidden/>
              </w:rPr>
              <w:fldChar w:fldCharType="separate"/>
            </w:r>
            <w:r w:rsidR="002E192B">
              <w:rPr>
                <w:noProof/>
                <w:webHidden/>
              </w:rPr>
              <w:t>12</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7" w:history="1">
            <w:r w:rsidR="002E192B" w:rsidRPr="00CC278C">
              <w:rPr>
                <w:rStyle w:val="Hyperlink"/>
                <w:noProof/>
                <w:lang w:val="fr-FR"/>
              </w:rPr>
              <w:t>Annexe 1</w:t>
            </w:r>
            <w:r w:rsidR="002E192B">
              <w:rPr>
                <w:noProof/>
                <w:webHidden/>
              </w:rPr>
              <w:tab/>
            </w:r>
            <w:r w:rsidR="002E192B">
              <w:rPr>
                <w:noProof/>
                <w:webHidden/>
              </w:rPr>
              <w:fldChar w:fldCharType="begin"/>
            </w:r>
            <w:r w:rsidR="002E192B">
              <w:rPr>
                <w:noProof/>
                <w:webHidden/>
              </w:rPr>
              <w:instrText xml:space="preserve"> PAGEREF _Toc42610417 \h </w:instrText>
            </w:r>
            <w:r w:rsidR="002E192B">
              <w:rPr>
                <w:noProof/>
                <w:webHidden/>
              </w:rPr>
            </w:r>
            <w:r w:rsidR="002E192B">
              <w:rPr>
                <w:noProof/>
                <w:webHidden/>
              </w:rPr>
              <w:fldChar w:fldCharType="separate"/>
            </w:r>
            <w:r w:rsidR="002E192B">
              <w:rPr>
                <w:noProof/>
                <w:webHidden/>
              </w:rPr>
              <w:t>13</w:t>
            </w:r>
            <w:r w:rsidR="002E192B">
              <w:rPr>
                <w:noProof/>
                <w:webHidden/>
              </w:rPr>
              <w:fldChar w:fldCharType="end"/>
            </w:r>
          </w:hyperlink>
        </w:p>
        <w:p w:rsidR="002E192B" w:rsidRDefault="00206198">
          <w:pPr>
            <w:pStyle w:val="TOC1"/>
            <w:tabs>
              <w:tab w:val="right" w:leader="dot" w:pos="9350"/>
            </w:tabs>
            <w:rPr>
              <w:rFonts w:eastAsiaTheme="minorEastAsia"/>
              <w:noProof/>
              <w:lang w:eastAsia="en-CA"/>
            </w:rPr>
          </w:pPr>
          <w:hyperlink w:anchor="_Toc42610418" w:history="1">
            <w:r w:rsidR="002E192B" w:rsidRPr="00CC278C">
              <w:rPr>
                <w:rStyle w:val="Hyperlink"/>
                <w:noProof/>
                <w:lang w:val="fr-FR"/>
              </w:rPr>
              <w:t>Annexe 2 : Exemples utilisant CURL</w:t>
            </w:r>
            <w:r w:rsidR="002E192B">
              <w:rPr>
                <w:noProof/>
                <w:webHidden/>
              </w:rPr>
              <w:tab/>
            </w:r>
            <w:r w:rsidR="002E192B">
              <w:rPr>
                <w:noProof/>
                <w:webHidden/>
              </w:rPr>
              <w:fldChar w:fldCharType="begin"/>
            </w:r>
            <w:r w:rsidR="002E192B">
              <w:rPr>
                <w:noProof/>
                <w:webHidden/>
              </w:rPr>
              <w:instrText xml:space="preserve"> PAGEREF _Toc42610418 \h </w:instrText>
            </w:r>
            <w:r w:rsidR="002E192B">
              <w:rPr>
                <w:noProof/>
                <w:webHidden/>
              </w:rPr>
            </w:r>
            <w:r w:rsidR="002E192B">
              <w:rPr>
                <w:noProof/>
                <w:webHidden/>
              </w:rPr>
              <w:fldChar w:fldCharType="separate"/>
            </w:r>
            <w:r w:rsidR="002E192B">
              <w:rPr>
                <w:noProof/>
                <w:webHidden/>
              </w:rPr>
              <w:t>18</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19" w:history="1">
            <w:r w:rsidR="002E192B" w:rsidRPr="00CC278C">
              <w:rPr>
                <w:rStyle w:val="Hyperlink"/>
                <w:noProof/>
              </w:rPr>
              <w:t>Exemples de structure SDMX:</w:t>
            </w:r>
            <w:r w:rsidR="002E192B">
              <w:rPr>
                <w:noProof/>
                <w:webHidden/>
              </w:rPr>
              <w:tab/>
            </w:r>
            <w:r w:rsidR="002E192B">
              <w:rPr>
                <w:noProof/>
                <w:webHidden/>
              </w:rPr>
              <w:fldChar w:fldCharType="begin"/>
            </w:r>
            <w:r w:rsidR="002E192B">
              <w:rPr>
                <w:noProof/>
                <w:webHidden/>
              </w:rPr>
              <w:instrText xml:space="preserve"> PAGEREF _Toc42610419 \h </w:instrText>
            </w:r>
            <w:r w:rsidR="002E192B">
              <w:rPr>
                <w:noProof/>
                <w:webHidden/>
              </w:rPr>
            </w:r>
            <w:r w:rsidR="002E192B">
              <w:rPr>
                <w:noProof/>
                <w:webHidden/>
              </w:rPr>
              <w:fldChar w:fldCharType="separate"/>
            </w:r>
            <w:r w:rsidR="002E192B">
              <w:rPr>
                <w:noProof/>
                <w:webHidden/>
              </w:rPr>
              <w:t>18</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20" w:history="1">
            <w:r w:rsidR="002E192B" w:rsidRPr="00CC278C">
              <w:rPr>
                <w:rStyle w:val="Hyperlink"/>
                <w:noProof/>
              </w:rPr>
              <w:t>Exemples de données SDMX:</w:t>
            </w:r>
            <w:r w:rsidR="002E192B">
              <w:rPr>
                <w:noProof/>
                <w:webHidden/>
              </w:rPr>
              <w:tab/>
            </w:r>
            <w:r w:rsidR="002E192B">
              <w:rPr>
                <w:noProof/>
                <w:webHidden/>
              </w:rPr>
              <w:fldChar w:fldCharType="begin"/>
            </w:r>
            <w:r w:rsidR="002E192B">
              <w:rPr>
                <w:noProof/>
                <w:webHidden/>
              </w:rPr>
              <w:instrText xml:space="preserve"> PAGEREF _Toc42610420 \h </w:instrText>
            </w:r>
            <w:r w:rsidR="002E192B">
              <w:rPr>
                <w:noProof/>
                <w:webHidden/>
              </w:rPr>
            </w:r>
            <w:r w:rsidR="002E192B">
              <w:rPr>
                <w:noProof/>
                <w:webHidden/>
              </w:rPr>
              <w:fldChar w:fldCharType="separate"/>
            </w:r>
            <w:r w:rsidR="002E192B">
              <w:rPr>
                <w:noProof/>
                <w:webHidden/>
              </w:rPr>
              <w:t>18</w:t>
            </w:r>
            <w:r w:rsidR="002E192B">
              <w:rPr>
                <w:noProof/>
                <w:webHidden/>
              </w:rPr>
              <w:fldChar w:fldCharType="end"/>
            </w:r>
          </w:hyperlink>
        </w:p>
        <w:p w:rsidR="002E192B" w:rsidRDefault="00206198">
          <w:pPr>
            <w:pStyle w:val="TOC2"/>
            <w:tabs>
              <w:tab w:val="right" w:leader="dot" w:pos="9350"/>
            </w:tabs>
            <w:rPr>
              <w:rFonts w:eastAsiaTheme="minorEastAsia"/>
              <w:noProof/>
              <w:lang w:eastAsia="en-CA"/>
            </w:rPr>
          </w:pPr>
          <w:hyperlink w:anchor="_Toc42610421" w:history="1">
            <w:r w:rsidR="002E192B" w:rsidRPr="00CC278C">
              <w:rPr>
                <w:rStyle w:val="Hyperlink"/>
                <w:noProof/>
              </w:rPr>
              <w:t xml:space="preserve">Exemples utilisant </w:t>
            </w:r>
            <w:r w:rsidR="002E192B" w:rsidRPr="00CC278C">
              <w:rPr>
                <w:rStyle w:val="Hyperlink"/>
                <w:noProof/>
                <w:lang w:val="fr-FR"/>
              </w:rPr>
              <w:t>vecteur</w:t>
            </w:r>
            <w:r w:rsidR="002E192B">
              <w:rPr>
                <w:noProof/>
                <w:webHidden/>
              </w:rPr>
              <w:tab/>
            </w:r>
            <w:r w:rsidR="002E192B">
              <w:rPr>
                <w:noProof/>
                <w:webHidden/>
              </w:rPr>
              <w:fldChar w:fldCharType="begin"/>
            </w:r>
            <w:r w:rsidR="002E192B">
              <w:rPr>
                <w:noProof/>
                <w:webHidden/>
              </w:rPr>
              <w:instrText xml:space="preserve"> PAGEREF _Toc42610421 \h </w:instrText>
            </w:r>
            <w:r w:rsidR="002E192B">
              <w:rPr>
                <w:noProof/>
                <w:webHidden/>
              </w:rPr>
            </w:r>
            <w:r w:rsidR="002E192B">
              <w:rPr>
                <w:noProof/>
                <w:webHidden/>
              </w:rPr>
              <w:fldChar w:fldCharType="separate"/>
            </w:r>
            <w:r w:rsidR="002E192B">
              <w:rPr>
                <w:noProof/>
                <w:webHidden/>
              </w:rPr>
              <w:t>20</w:t>
            </w:r>
            <w:r w:rsidR="002E192B">
              <w:rPr>
                <w:noProof/>
                <w:webHidden/>
              </w:rPr>
              <w:fldChar w:fldCharType="end"/>
            </w:r>
          </w:hyperlink>
        </w:p>
        <w:p w:rsidR="002C7BEF" w:rsidRDefault="00BD037B">
          <w:pPr>
            <w:pStyle w:val="TOC1"/>
            <w:tabs>
              <w:tab w:val="right" w:leader="dot" w:pos="9360"/>
            </w:tabs>
          </w:pPr>
          <w:r>
            <w:rPr>
              <w:rStyle w:val="IndexLink"/>
            </w:rPr>
            <w:fldChar w:fldCharType="end"/>
          </w:r>
        </w:p>
      </w:sdtContent>
    </w:sdt>
    <w:p w:rsidR="002C7BEF" w:rsidRDefault="002C7BEF"/>
    <w:p w:rsidR="002C7BEF" w:rsidRDefault="002C7BEF"/>
    <w:p w:rsidR="002C7BEF" w:rsidRDefault="00BD037B">
      <w:pPr>
        <w:pStyle w:val="Heading1"/>
        <w:rPr>
          <w:lang w:val="fr-FR"/>
        </w:rPr>
      </w:pPr>
      <w:bookmarkStart w:id="1" w:name="_Toc26177260"/>
      <w:bookmarkStart w:id="2" w:name="_Toc25835512"/>
      <w:bookmarkStart w:id="3" w:name="_Toc42610401"/>
      <w:r>
        <w:rPr>
          <w:lang w:val="fr-FR"/>
        </w:rPr>
        <w:t>Introduction</w:t>
      </w:r>
      <w:bookmarkEnd w:id="1"/>
      <w:bookmarkEnd w:id="2"/>
      <w:bookmarkEnd w:id="3"/>
    </w:p>
    <w:p w:rsidR="002C7BEF" w:rsidRDefault="002C7BEF">
      <w:pPr>
        <w:keepNext/>
        <w:rPr>
          <w:lang w:val="fr-FR"/>
        </w:rPr>
      </w:pPr>
    </w:p>
    <w:p w:rsidR="002C7BEF" w:rsidRDefault="00BD037B">
      <w:pPr>
        <w:rPr>
          <w:lang w:val="fr-FR"/>
        </w:rPr>
      </w:pPr>
      <w:r>
        <w:rPr>
          <w:lang w:val="fr-FR"/>
        </w:rPr>
        <w:t>Les services Web SDMX REST de Statistique Canada donnent accès aux séries chronologiques disponibles sur le site Web de Statistique Canada sous une forme structurée. Elle est conforme à la norme SDMX. Ce service est accessible à l’aide d’une requête HTTP.</w:t>
      </w:r>
    </w:p>
    <w:p w:rsidR="002C7BEF" w:rsidRDefault="00BD037B">
      <w:pPr>
        <w:rPr>
          <w:lang w:val="fr-FR"/>
        </w:rPr>
      </w:pPr>
      <w:r>
        <w:rPr>
          <w:lang w:val="fr-FR"/>
        </w:rPr>
        <w:lastRenderedPageBreak/>
        <w:t>Les séries chronologiques accessibles à partir de l’Entrepôt commun de données de sortie (ECDS) de Statistique Canada sont présentées sous la forme d’indicateurs ou de cubes canadiens (à court terme, structurels, particuliers, etc.) représentant généralement un ensemble de séries ou de vecteurs. Un indicateur (ou cube) est divisé en autant de séries élémentaires qu’il existe de croisements possibles de variables ou de dimensions. Par exemple, 50 industries * 13 provinces ou territoires = 650 séries ou vecteurs différents dans l’ECDS.</w:t>
      </w:r>
    </w:p>
    <w:p w:rsidR="002C7BEF" w:rsidRDefault="00BD037B">
      <w:pPr>
        <w:keepNext/>
        <w:rPr>
          <w:lang w:val="fr-FR"/>
        </w:rPr>
      </w:pPr>
      <w:r>
        <w:rPr>
          <w:lang w:val="fr-FR"/>
        </w:rPr>
        <w:t>Le service Web SDMX donne un accès :</w:t>
      </w:r>
    </w:p>
    <w:p w:rsidR="002C7BEF" w:rsidRDefault="00BD037B">
      <w:pPr>
        <w:pStyle w:val="ListParagraph"/>
        <w:numPr>
          <w:ilvl w:val="0"/>
          <w:numId w:val="2"/>
        </w:numPr>
      </w:pPr>
      <w:r>
        <w:t>aux valeurs des séries;</w:t>
      </w:r>
    </w:p>
    <w:p w:rsidR="002C7BEF" w:rsidRDefault="00BD037B">
      <w:pPr>
        <w:pStyle w:val="ListParagraph"/>
        <w:numPr>
          <w:ilvl w:val="0"/>
          <w:numId w:val="2"/>
        </w:numPr>
        <w:rPr>
          <w:lang w:val="fr-FR"/>
        </w:rPr>
      </w:pPr>
      <w:r>
        <w:rPr>
          <w:lang w:val="fr-FR"/>
        </w:rPr>
        <w:t>aux métadonnées structurelles décrivant les caractéristiques des séries;</w:t>
      </w:r>
    </w:p>
    <w:p w:rsidR="002C7BEF" w:rsidRDefault="00BD037B">
      <w:pPr>
        <w:pStyle w:val="ListParagraph"/>
        <w:numPr>
          <w:ilvl w:val="0"/>
          <w:numId w:val="2"/>
        </w:numPr>
      </w:pPr>
      <w:r>
        <w:t>gratuit.</w:t>
      </w:r>
    </w:p>
    <w:p w:rsidR="002C7BEF" w:rsidRDefault="00BD037B">
      <w:pPr>
        <w:rPr>
          <w:lang w:val="fr-FR"/>
        </w:rPr>
      </w:pPr>
      <w:r>
        <w:rPr>
          <w:lang w:val="fr-FR"/>
        </w:rPr>
        <w:t>Il est possible d’extraire rapidement des données à l’aide de l’identificateur et des vecteurs du cube de l’ECDS. Dans de tels cas, l’utilisateur doit avoir précédemment pris note de l’identificateur du cube de l’ECDS ou de l’identificateur du vecteur sur le site Web de Statistique Canada.</w:t>
      </w:r>
    </w:p>
    <w:p w:rsidR="002C7BEF" w:rsidRDefault="00BD037B">
      <w:pPr>
        <w:pStyle w:val="Heading1"/>
        <w:rPr>
          <w:lang w:val="fr-FR"/>
        </w:rPr>
      </w:pPr>
      <w:bookmarkStart w:id="4" w:name="_Toc26177261"/>
      <w:bookmarkStart w:id="5" w:name="_Toc25835513"/>
      <w:bookmarkStart w:id="6" w:name="_Toc42610402"/>
      <w:r>
        <w:rPr>
          <w:lang w:val="fr-FR"/>
        </w:rPr>
        <w:t>Qu’est-ce que SDMX?</w:t>
      </w:r>
      <w:bookmarkEnd w:id="4"/>
      <w:bookmarkEnd w:id="5"/>
      <w:bookmarkEnd w:id="6"/>
    </w:p>
    <w:p w:rsidR="002C7BEF" w:rsidRDefault="002C7BEF">
      <w:pPr>
        <w:keepNext/>
        <w:rPr>
          <w:lang w:val="fr-FR"/>
        </w:rPr>
      </w:pPr>
    </w:p>
    <w:p w:rsidR="002C7BEF" w:rsidRDefault="00BD037B">
      <w:pPr>
        <w:rPr>
          <w:lang w:val="fr-FR"/>
        </w:rPr>
      </w:pPr>
      <w:r>
        <w:rPr>
          <w:lang w:val="fr-FR"/>
        </w:rPr>
        <w:t>L’initiative d’échange de données et de métadonnées statistiques est parrainée par sept organismes (la Banque des règlements internationaux, la Banque centrale européenne, Eurostat, le Fonds monétaire international, l’Organisation de coopération et de développement économiques, l’Organisation des Nations Unies et la Banque mondiale) pour préconiser des normes pour l’échange de renseignements statistiques. La première version de la norme est une norme de l’ISO (spécification technique ISO 17369:2005). Elle offre un modèle d’information pour la représentation de données et de métadonnées statistiques, ainsi que plusieurs formats pour représenter ce modèle (SDMX-EDI, SDMX-JSON, SDMX-CSV et plusieurs formats SDMX-ML). Elle propose également une façon normalisée de mettre en œuvre des services Web, y compris l’utilisation de registres.</w:t>
      </w:r>
    </w:p>
    <w:p w:rsidR="002C7BEF" w:rsidRDefault="002C7BEF">
      <w:pPr>
        <w:rPr>
          <w:lang w:val="fr-FR"/>
        </w:rPr>
      </w:pPr>
    </w:p>
    <w:p w:rsidR="002C7BEF" w:rsidRDefault="00BD037B">
      <w:pPr>
        <w:pStyle w:val="Heading2"/>
        <w:rPr>
          <w:lang w:val="fr-FR"/>
        </w:rPr>
      </w:pPr>
      <w:bookmarkStart w:id="7" w:name="_Toc26177262"/>
      <w:bookmarkStart w:id="8" w:name="_Toc25835514"/>
      <w:bookmarkStart w:id="9" w:name="_Toc42610403"/>
      <w:r>
        <w:rPr>
          <w:lang w:val="fr-FR"/>
        </w:rPr>
        <w:t>Le modèle d’information SDMX en quelques lignes</w:t>
      </w:r>
      <w:bookmarkEnd w:id="7"/>
      <w:bookmarkEnd w:id="8"/>
      <w:bookmarkEnd w:id="9"/>
    </w:p>
    <w:p w:rsidR="002C7BEF" w:rsidRDefault="00BD037B">
      <w:pPr>
        <w:keepNext/>
        <w:rPr>
          <w:lang w:val="fr-FR"/>
        </w:rPr>
      </w:pPr>
      <w:r>
        <w:rPr>
          <w:lang w:val="fr-FR"/>
        </w:rPr>
        <w:t>La liste qui suit vous indique tout ce qu’il vous faut savoir sur le modèle d’information SDMX pour que nous puissions commencer à créer une application fondée sur la norme SDMX.</w:t>
      </w:r>
    </w:p>
    <w:p w:rsidR="002C7BEF" w:rsidRDefault="00BD037B">
      <w:pPr>
        <w:pStyle w:val="ListParagraph"/>
        <w:numPr>
          <w:ilvl w:val="0"/>
          <w:numId w:val="1"/>
        </w:numPr>
        <w:rPr>
          <w:lang w:val="fr-FR"/>
        </w:rPr>
      </w:pPr>
      <w:r>
        <w:rPr>
          <w:b/>
          <w:lang w:val="fr-FR"/>
        </w:rPr>
        <w:t>Concepts de descripteur</w:t>
      </w:r>
      <w:r>
        <w:rPr>
          <w:lang w:val="fr-FR"/>
        </w:rPr>
        <w:t> : Pour donner un sens à certaines données statistiques, nous devons connaître les concepts qui leur sont associés. Par exemple, la figure 1.3312 n’a pas vraiment de sens par elle-même, mais si nous savons qu’il s’agit d’un taux de change du dollar canadien par rapport au dollar américain le 19 novembre 2019, elle devient plus compréhensible.</w:t>
      </w:r>
    </w:p>
    <w:p w:rsidR="002C7BEF" w:rsidRDefault="00BD037B">
      <w:pPr>
        <w:pStyle w:val="ListParagraph"/>
        <w:numPr>
          <w:ilvl w:val="0"/>
          <w:numId w:val="1"/>
        </w:numPr>
        <w:rPr>
          <w:lang w:val="fr-FR"/>
        </w:rPr>
      </w:pPr>
      <w:r>
        <w:rPr>
          <w:b/>
          <w:lang w:val="fr-FR"/>
        </w:rPr>
        <w:t>Structure de présentation</w:t>
      </w:r>
      <w:r>
        <w:rPr>
          <w:lang w:val="fr-FR"/>
        </w:rPr>
        <w:t xml:space="preserve"> : Les données statistiques peuvent être regroupées aux niveaux suivants : le niveau de l’observation (la mesure d’un certain phénomène), le niveau de la série (la mesure d’un certain phénomène dans le temps, généralement à des intervalles réguliers), le niveau du groupe (un groupe de séries, dont un exemple bien connu est le groupe constitué par une fratrie, c’est-à-dire un ensemble de séries qui sont identiques à ceci près qu’elles sont mesurées à des fréquences différentes) et le niveau de l’ensemble de données (pouvant comprendre plusieurs groupes, pour couvrir un domaine statistique particulier, par exemple). </w:t>
      </w:r>
      <w:r>
        <w:rPr>
          <w:lang w:val="fr-FR"/>
        </w:rPr>
        <w:lastRenderedPageBreak/>
        <w:t>Les concepts de descripteur mentionnés ci-dessus peuvent être attachés à divers niveaux dans cette hiérarchie.</w:t>
      </w:r>
    </w:p>
    <w:p w:rsidR="002C7BEF" w:rsidRDefault="00BD037B">
      <w:pPr>
        <w:pStyle w:val="ListParagraph"/>
        <w:numPr>
          <w:ilvl w:val="0"/>
          <w:numId w:val="1"/>
        </w:numPr>
        <w:rPr>
          <w:lang w:val="fr-FR"/>
        </w:rPr>
      </w:pPr>
      <w:r>
        <w:rPr>
          <w:b/>
          <w:lang w:val="fr-FR"/>
        </w:rPr>
        <w:t>Dimensions et attributs</w:t>
      </w:r>
      <w:r>
        <w:rPr>
          <w:lang w:val="fr-FR"/>
        </w:rPr>
        <w:t> : Il existe deux types de concepts de descripteur : les dimensions, qui déterminent et décrivent les données, et les attributs, qui sont purement descriptifs.</w:t>
      </w:r>
    </w:p>
    <w:p w:rsidR="002C7BEF" w:rsidRDefault="00BD037B">
      <w:pPr>
        <w:pStyle w:val="ListParagraph"/>
        <w:numPr>
          <w:ilvl w:val="0"/>
          <w:numId w:val="1"/>
        </w:numPr>
      </w:pPr>
      <w:r>
        <w:rPr>
          <w:b/>
          <w:lang w:val="fr-FR"/>
        </w:rPr>
        <w:t>Clés</w:t>
      </w:r>
      <w:r>
        <w:rPr>
          <w:lang w:val="fr-FR"/>
        </w:rPr>
        <w:t xml:space="preserve"> : Les dimensions sont regroupées en clés, qui permettent de définir un ensemble de données particulier (une série, par exemple). Les valeurs des clés sont affectées au niveau de la série et sont données selon une séquence fixe. Par convention, la fréquence est le premier concept de descripteur et les autres concepts se voient attribuer un ordre pour l’ensemble de données en question. </w:t>
      </w:r>
      <w:r>
        <w:t>Des clés partielles peuvent être affectées à des groupes.</w:t>
      </w:r>
    </w:p>
    <w:p w:rsidR="002C7BEF" w:rsidRDefault="00BD037B">
      <w:pPr>
        <w:pStyle w:val="ListParagraph"/>
        <w:numPr>
          <w:ilvl w:val="0"/>
          <w:numId w:val="1"/>
        </w:numPr>
        <w:rPr>
          <w:lang w:val="fr-FR"/>
        </w:rPr>
      </w:pPr>
      <w:r>
        <w:rPr>
          <w:b/>
          <w:lang w:val="fr-FR"/>
        </w:rPr>
        <w:t>Listes de codes</w:t>
      </w:r>
      <w:r>
        <w:rPr>
          <w:lang w:val="fr-FR"/>
        </w:rPr>
        <w:t> : Chaque valeur possible d’une dimension est définie dans une liste de codes. Chaque valeur de cette liste se voit attribuer une abréviation (code) non liée à un langage particulier et une description propre à un langage. Les attributs sont représentés parfois par des codes, parfois par des valeurs à texte libre. Comme la seule finalité d’un attribut est de décrire et non pas de reconnaître les données, cela ne pose aucun problème.</w:t>
      </w:r>
    </w:p>
    <w:p w:rsidR="002C7BEF" w:rsidRDefault="00BD037B">
      <w:pPr>
        <w:pStyle w:val="ListParagraph"/>
        <w:numPr>
          <w:ilvl w:val="0"/>
          <w:numId w:val="1"/>
        </w:numPr>
        <w:rPr>
          <w:lang w:val="fr-FR"/>
        </w:rPr>
      </w:pPr>
      <w:r>
        <w:rPr>
          <w:b/>
          <w:lang w:val="fr-FR"/>
        </w:rPr>
        <w:t>Définitions de la structure des données</w:t>
      </w:r>
      <w:r>
        <w:rPr>
          <w:lang w:val="fr-FR"/>
        </w:rPr>
        <w:t> : Une définition de la structure des données (famille de clés) précise un ensemble de concepts, lesquels décrivent et définissent un ensemble de données. Elle nous indique les concepts qui sont des dimensions (détermination et description) et ceux qui sont des attributs (description seulement) et fournit le niveau d’affectation pour chacun de ces concepts sur la base de la structure de présentation (ensemble de données, groupe, série ou observation), ainsi que leur état (impératif ou conditionnel). Elle précise également les listes de codes qui fournissent des valeurs possibles pour les dimensions et donne des valeurs possibles pour les attributs, soit sous forme de listes de codes ou de champs à texte libre.</w:t>
      </w:r>
    </w:p>
    <w:p w:rsidR="002C7BEF" w:rsidRDefault="00BD037B">
      <w:pPr>
        <w:pStyle w:val="Heading2"/>
        <w:rPr>
          <w:lang w:val="fr-FR"/>
        </w:rPr>
      </w:pPr>
      <w:bookmarkStart w:id="10" w:name="_Toc26177263"/>
      <w:bookmarkStart w:id="11" w:name="_Toc25835515"/>
      <w:bookmarkStart w:id="12" w:name="_Toc42610404"/>
      <w:r>
        <w:rPr>
          <w:lang w:val="fr-FR"/>
        </w:rPr>
        <w:t>Les divers formats SDMX-ML</w:t>
      </w:r>
      <w:bookmarkEnd w:id="10"/>
      <w:bookmarkEnd w:id="11"/>
      <w:bookmarkEnd w:id="12"/>
    </w:p>
    <w:p w:rsidR="002C7BEF" w:rsidRDefault="00BD037B">
      <w:pPr>
        <w:keepNext/>
        <w:rPr>
          <w:lang w:val="fr-FR"/>
        </w:rPr>
      </w:pPr>
      <w:r>
        <w:rPr>
          <w:lang w:val="fr-FR"/>
        </w:rPr>
        <w:t>Le format SDMX-ML prend en charge divers cas d’utilisation et, par conséquent, définit plusieurs formats XML. Aux fins du présent tutoriel, les deux formats suivants seront utilisés :</w:t>
      </w:r>
    </w:p>
    <w:p w:rsidR="002C7BEF" w:rsidRDefault="00BD037B">
      <w:pPr>
        <w:pStyle w:val="ListParagraph"/>
        <w:numPr>
          <w:ilvl w:val="0"/>
          <w:numId w:val="3"/>
        </w:numPr>
        <w:rPr>
          <w:lang w:val="fr-FR"/>
        </w:rPr>
      </w:pPr>
      <w:r>
        <w:rPr>
          <w:b/>
          <w:lang w:val="fr-FR"/>
        </w:rPr>
        <w:t>Le format de définition de la structure</w:t>
      </w:r>
      <w:r>
        <w:rPr>
          <w:lang w:val="fr-FR"/>
        </w:rPr>
        <w:t> : Ce format sera utilisé pour définir la structure (concepts, listes de codes, dimensions, attributs, etc.) des familles de clés.</w:t>
      </w:r>
    </w:p>
    <w:p w:rsidR="002C7BEF" w:rsidRDefault="00BD037B">
      <w:pPr>
        <w:pStyle w:val="ListParagraph"/>
        <w:numPr>
          <w:ilvl w:val="0"/>
          <w:numId w:val="3"/>
        </w:numPr>
        <w:rPr>
          <w:lang w:val="fr-FR"/>
        </w:rPr>
      </w:pPr>
      <w:r>
        <w:rPr>
          <w:b/>
          <w:lang w:val="fr-FR"/>
        </w:rPr>
        <w:t>Le format compact</w:t>
      </w:r>
      <w:r>
        <w:rPr>
          <w:lang w:val="fr-FR"/>
        </w:rPr>
        <w:t> : Ce format sera utilisé pour définir le fichier de données. Il ne s’agit pas d’un format générique (il est particulier à une définition de la structure des données), mais il est conçu pour prendre en charge la validation et est très compact de manière à prendre en charge l’échange de grands ensembles de données.</w:t>
      </w:r>
    </w:p>
    <w:p w:rsidR="002C7BEF" w:rsidRDefault="00BD037B">
      <w:pPr>
        <w:rPr>
          <w:lang w:val="fr-FR"/>
        </w:rPr>
      </w:pPr>
      <w:r>
        <w:rPr>
          <w:lang w:val="fr-FR"/>
        </w:rPr>
        <w:t>Maintenant que nous connaissons les principes de base, nous pouvons commencer à créer notre application.</w:t>
      </w:r>
    </w:p>
    <w:p w:rsidR="002C7BEF" w:rsidRDefault="00BD037B">
      <w:pPr>
        <w:rPr>
          <w:lang w:val="fr-FR"/>
        </w:rPr>
      </w:pPr>
      <w:r>
        <w:rPr>
          <w:lang w:val="fr-FR"/>
        </w:rPr>
        <w:t xml:space="preserve">Le modèle d’information SDMX est beaucoup plus élaboré que ce qui est présenté dans cette introduction limitée. Toutefois, ce qui précède devrait suffire à comprendre les principes essentiels de ce service Web. Pour obtenir de plus amples renseignements, veuillez vous reporter à la </w:t>
      </w:r>
      <w:hyperlink r:id="rId8">
        <w:r>
          <w:rPr>
            <w:rStyle w:val="Hyperlink"/>
            <w:lang w:val="fr-FR"/>
          </w:rPr>
          <w:t>documentation sur le format SDMX</w:t>
        </w:r>
      </w:hyperlink>
      <w:r>
        <w:rPr>
          <w:rStyle w:val="Hyperlink"/>
          <w:lang w:val="fr-FR"/>
        </w:rPr>
        <w:t xml:space="preserve"> (en anglais seulement)</w:t>
      </w:r>
      <w:r>
        <w:rPr>
          <w:lang w:val="fr-FR"/>
        </w:rPr>
        <w:t>.</w:t>
      </w:r>
    </w:p>
    <w:p w:rsidR="002C7BEF" w:rsidRDefault="002C7BEF">
      <w:pPr>
        <w:rPr>
          <w:lang w:val="fr-FR"/>
        </w:rPr>
      </w:pPr>
    </w:p>
    <w:p w:rsidR="002C7BEF" w:rsidRDefault="00BD037B">
      <w:pPr>
        <w:pStyle w:val="Heading1"/>
        <w:rPr>
          <w:lang w:val="fr-FR"/>
        </w:rPr>
      </w:pPr>
      <w:bookmarkStart w:id="13" w:name="_Toc26177264"/>
      <w:bookmarkStart w:id="14" w:name="_Toc25835516"/>
      <w:bookmarkStart w:id="15" w:name="_Toc42610405"/>
      <w:r>
        <w:rPr>
          <w:lang w:val="fr-FR"/>
        </w:rPr>
        <w:lastRenderedPageBreak/>
        <w:t>Service Web de données SDMX (cube)</w:t>
      </w:r>
      <w:bookmarkEnd w:id="13"/>
      <w:bookmarkEnd w:id="14"/>
      <w:bookmarkEnd w:id="15"/>
    </w:p>
    <w:p w:rsidR="002C7BEF" w:rsidRDefault="002C7BEF">
      <w:pPr>
        <w:keepNext/>
        <w:rPr>
          <w:lang w:val="fr-FR"/>
        </w:rPr>
      </w:pPr>
    </w:p>
    <w:p w:rsidR="002C7BEF" w:rsidRDefault="00BD037B">
      <w:pPr>
        <w:rPr>
          <w:lang w:val="fr-FR"/>
        </w:rPr>
      </w:pPr>
      <w:r>
        <w:rPr>
          <w:rFonts w:ascii="Helvetica" w:hAnsi="Helvetica"/>
          <w:color w:val="555555"/>
          <w:sz w:val="21"/>
          <w:szCs w:val="21"/>
          <w:shd w:val="clear" w:color="auto" w:fill="FFFFFF"/>
          <w:lang w:val="fr-FR"/>
        </w:rPr>
        <w:t>Toutes les données stockées dans l’ECDS peuvent être extraites à l’aide de la chaîne de requête décrite ci-dessous.</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lang w:val="fr-FR"/>
        </w:rPr>
        <w:tab/>
      </w:r>
      <w:r>
        <w:rPr>
          <w:rFonts w:ascii="Consolas" w:hAnsi="Consolas"/>
          <w:color w:val="2FA4E7"/>
        </w:rPr>
        <w:t>protocol</w:t>
      </w:r>
      <w:r>
        <w:rPr>
          <w:rFonts w:ascii="Consolas" w:hAnsi="Consolas"/>
          <w:color w:val="333333"/>
        </w:rPr>
        <w:t>://</w:t>
      </w:r>
      <w:r>
        <w:rPr>
          <w:rFonts w:ascii="Consolas" w:hAnsi="Consolas"/>
          <w:color w:val="2FA4E7"/>
        </w:rPr>
        <w:t>wsEntryPoint</w:t>
      </w:r>
      <w:r>
        <w:rPr>
          <w:rFonts w:ascii="Consolas" w:hAnsi="Consolas"/>
          <w:color w:val="333333"/>
        </w:rPr>
        <w:t>/</w:t>
      </w:r>
      <w:r>
        <w:rPr>
          <w:rFonts w:ascii="Consolas" w:hAnsi="Consolas"/>
          <w:color w:val="2FA4E7"/>
        </w:rPr>
        <w:t>resource</w:t>
      </w:r>
      <w:r>
        <w:rPr>
          <w:rFonts w:ascii="Consolas" w:hAnsi="Consolas"/>
          <w:color w:val="333333"/>
        </w:rPr>
        <w:t>/</w:t>
      </w:r>
      <w:r>
        <w:rPr>
          <w:rFonts w:ascii="Consolas" w:hAnsi="Consolas"/>
          <w:color w:val="2FA4E7"/>
        </w:rPr>
        <w:t>flowRef</w:t>
      </w:r>
      <w:r>
        <w:rPr>
          <w:rFonts w:ascii="Consolas" w:hAnsi="Consolas"/>
          <w:color w:val="000000" w:themeColor="text1"/>
        </w:rPr>
        <w:t>/</w:t>
      </w:r>
      <w:r>
        <w:rPr>
          <w:rFonts w:ascii="Consolas" w:hAnsi="Consolas"/>
          <w:color w:val="2FA4E7"/>
        </w:rPr>
        <w:t>key</w:t>
      </w:r>
      <w:r>
        <w:rPr>
          <w:rFonts w:ascii="Consolas" w:hAnsi="Consolas"/>
          <w:color w:val="333333"/>
        </w:rPr>
        <w:t>?</w:t>
      </w:r>
      <w:r>
        <w:rPr>
          <w:rFonts w:ascii="Consolas" w:hAnsi="Consolas"/>
          <w:color w:val="3A87AD"/>
          <w:highlight w:val="yellow"/>
        </w:rPr>
        <w:t>parameters</w:t>
      </w:r>
    </w:p>
    <w:p w:rsidR="002C7BEF" w:rsidRDefault="002C7BEF">
      <w:pPr>
        <w:rPr>
          <w:rFonts w:ascii="Helvetica" w:hAnsi="Helvetica" w:cs="Helvetica"/>
          <w:color w:val="555555"/>
          <w:sz w:val="21"/>
          <w:szCs w:val="21"/>
        </w:rPr>
      </w:pPr>
    </w:p>
    <w:p w:rsidR="002C7BEF" w:rsidRDefault="00BD037B">
      <w:pPr>
        <w:keepNext/>
        <w:rPr>
          <w:lang w:val="fr-FR"/>
        </w:rPr>
      </w:pPr>
      <w:r>
        <w:rPr>
          <w:rFonts w:ascii="Helvetica" w:hAnsi="Helvetica"/>
          <w:color w:val="555555"/>
          <w:sz w:val="21"/>
          <w:szCs w:val="21"/>
          <w:lang w:val="fr-FR"/>
        </w:rPr>
        <w:t xml:space="preserve">dans laquelle </w:t>
      </w:r>
      <w:r>
        <w:rPr>
          <w:rStyle w:val="text-info1"/>
          <w:rFonts w:ascii="Helvetica" w:hAnsi="Helvetica"/>
          <w:sz w:val="21"/>
          <w:szCs w:val="21"/>
          <w:highlight w:val="yellow"/>
          <w:lang w:val="fr-FR"/>
        </w:rPr>
        <w:t>parameters</w:t>
      </w:r>
      <w:r>
        <w:rPr>
          <w:rFonts w:ascii="Helvetica" w:hAnsi="Helvetica"/>
          <w:color w:val="555555"/>
          <w:sz w:val="21"/>
          <w:szCs w:val="21"/>
          <w:lang w:val="fr-FR"/>
        </w:rPr>
        <w:t xml:space="preserve"> est défini comme suit :</w:t>
      </w:r>
    </w:p>
    <w:p w:rsidR="002C7BEF" w:rsidRDefault="00BD037B">
      <w:pPr>
        <w:ind w:left="720"/>
      </w:pPr>
      <w:r>
        <w:rPr>
          <w:rStyle w:val="text-primary1"/>
        </w:rPr>
        <w:t>startPeriod</w:t>
      </w:r>
      <w:r>
        <w:t>=</w:t>
      </w:r>
      <w:r>
        <w:rPr>
          <w:rStyle w:val="text-muted1"/>
        </w:rPr>
        <w:t>value</w:t>
      </w:r>
      <w:r>
        <w:t>&amp;</w:t>
      </w:r>
      <w:r>
        <w:rPr>
          <w:rStyle w:val="text-primary1"/>
        </w:rPr>
        <w:t>endPeriod</w:t>
      </w:r>
      <w:r>
        <w:t>=</w:t>
      </w:r>
      <w:r>
        <w:rPr>
          <w:rStyle w:val="text-muted1"/>
        </w:rPr>
        <w:t>value</w:t>
      </w:r>
      <w:r>
        <w:t>&amp;</w:t>
      </w:r>
      <w:r>
        <w:rPr>
          <w:rStyle w:val="text-primary1"/>
        </w:rPr>
        <w:t>updatedAfter</w:t>
      </w:r>
      <w:r>
        <w:t>=</w:t>
      </w:r>
      <w:r>
        <w:rPr>
          <w:rStyle w:val="text-muted1"/>
        </w:rPr>
        <w:t>value</w:t>
      </w:r>
      <w:r>
        <w:t>&amp;</w:t>
      </w:r>
      <w:r>
        <w:rPr>
          <w:rStyle w:val="text-primary1"/>
        </w:rPr>
        <w:t>firstNObservations</w:t>
      </w:r>
      <w:r>
        <w:t>=</w:t>
      </w:r>
      <w:r>
        <w:rPr>
          <w:rStyle w:val="text-muted1"/>
        </w:rPr>
        <w:t>value</w:t>
      </w:r>
      <w:r>
        <w:t>&amp;</w:t>
      </w:r>
      <w:r>
        <w:rPr>
          <w:rStyle w:val="text-primary1"/>
        </w:rPr>
        <w:t>lastNObservations</w:t>
      </w:r>
      <w:r>
        <w:t>=</w:t>
      </w:r>
      <w:r>
        <w:rPr>
          <w:rStyle w:val="text-muted1"/>
        </w:rPr>
        <w:t>value</w:t>
      </w:r>
      <w:r>
        <w:t>&amp;</w:t>
      </w:r>
      <w:r>
        <w:rPr>
          <w:rStyle w:val="text-primary1"/>
        </w:rPr>
        <w:t>detail</w:t>
      </w:r>
      <w:r>
        <w:t>=</w:t>
      </w:r>
      <w:r>
        <w:rPr>
          <w:rStyle w:val="text-muted1"/>
        </w:rPr>
        <w:t>value</w:t>
      </w:r>
      <w:r>
        <w:t>&amp;</w:t>
      </w:r>
      <w:r>
        <w:rPr>
          <w:rStyle w:val="text-primary1"/>
        </w:rPr>
        <w:t>includeHistory</w:t>
      </w:r>
      <w:r>
        <w:t>=</w:t>
      </w:r>
      <w:r>
        <w:rPr>
          <w:rStyle w:val="text-muted1"/>
        </w:rPr>
        <w:t>value</w:t>
      </w:r>
    </w:p>
    <w:p w:rsidR="002C7BEF" w:rsidRDefault="002C7BEF"/>
    <w:p w:rsidR="002C7BEF" w:rsidRDefault="00BD037B">
      <w:pPr>
        <w:pStyle w:val="Heading2"/>
        <w:rPr>
          <w:lang w:val="fr-FR"/>
        </w:rPr>
      </w:pPr>
      <w:bookmarkStart w:id="16" w:name="_Toc26177265"/>
      <w:bookmarkStart w:id="17" w:name="_Toc25835517"/>
      <w:bookmarkStart w:id="18" w:name="_Toc42610406"/>
      <w:r>
        <w:rPr>
          <w:lang w:val="fr-FR"/>
        </w:rPr>
        <w:t>Définition de la syntaxe</w:t>
      </w:r>
      <w:bookmarkEnd w:id="16"/>
      <w:bookmarkEnd w:id="17"/>
      <w:bookmarkEnd w:id="18"/>
    </w:p>
    <w:p w:rsidR="002C7BEF" w:rsidRDefault="002C7BEF">
      <w:pPr>
        <w:rPr>
          <w:lang w:val="fr-FR"/>
        </w:rPr>
      </w:pPr>
    </w:p>
    <w:p w:rsidR="002C7BEF" w:rsidRDefault="00BD037B">
      <w:pPr>
        <w:pStyle w:val="Heading3"/>
        <w:ind w:left="720"/>
        <w:rPr>
          <w:lang w:val="fr-FR"/>
        </w:rPr>
      </w:pPr>
      <w:r>
        <w:rPr>
          <w:lang w:val="fr-FR"/>
        </w:rPr>
        <w:t>protocol</w:t>
      </w:r>
    </w:p>
    <w:p w:rsidR="002C7BEF" w:rsidRDefault="00BD037B">
      <w:pPr>
        <w:ind w:left="1440"/>
        <w:rPr>
          <w:lang w:val="fr-FR"/>
        </w:rPr>
      </w:pPr>
      <w:r>
        <w:rPr>
          <w:lang w:val="fr-FR"/>
        </w:rPr>
        <w:t>Le service Web est offert sur</w:t>
      </w:r>
      <w:r>
        <w:rPr>
          <w:color w:val="FF0000"/>
          <w:shd w:val="clear" w:color="auto" w:fill="D9D9D9"/>
          <w:lang w:val="fr-FR"/>
        </w:rPr>
        <w:t xml:space="preserve"> http</w:t>
      </w:r>
      <w:r>
        <w:rPr>
          <w:color w:val="FF0000"/>
          <w:lang w:val="fr-FR"/>
        </w:rPr>
        <w:t xml:space="preserve"> </w:t>
      </w:r>
      <w:r>
        <w:rPr>
          <w:lang w:val="fr-FR"/>
        </w:rPr>
        <w:t>et</w:t>
      </w:r>
      <w:r>
        <w:rPr>
          <w:color w:val="FF0000"/>
          <w:shd w:val="clear" w:color="auto" w:fill="D9D9D9"/>
          <w:lang w:val="fr-FR"/>
        </w:rPr>
        <w:t xml:space="preserve"> https</w:t>
      </w:r>
      <w:r>
        <w:rPr>
          <w:lang w:val="fr-FR"/>
        </w:rPr>
        <w:t>.</w:t>
      </w:r>
    </w:p>
    <w:p w:rsidR="002C7BEF" w:rsidRDefault="00BD037B">
      <w:pPr>
        <w:pStyle w:val="Heading3"/>
        <w:ind w:left="720"/>
        <w:rPr>
          <w:lang w:val="fr-FR"/>
        </w:rPr>
      </w:pPr>
      <w:r>
        <w:rPr>
          <w:lang w:val="fr-FR"/>
        </w:rPr>
        <w:t>wsEntryPoint</w:t>
      </w:r>
    </w:p>
    <w:p w:rsidR="002C7BEF" w:rsidRDefault="00BD037B">
      <w:pPr>
        <w:ind w:left="1440"/>
        <w:rPr>
          <w:lang w:val="fr-FR"/>
        </w:rPr>
      </w:pPr>
      <w:r>
        <w:rPr>
          <w:lang w:val="fr-FR"/>
        </w:rPr>
        <w:t>Le point d’entrée du service Web est accessible au même emplacement que le point d’entrée des données et métadonnées SDMX.</w:t>
      </w:r>
    </w:p>
    <w:p w:rsidR="002C7BEF" w:rsidRDefault="00BD037B">
      <w:pPr>
        <w:pStyle w:val="Heading3"/>
        <w:ind w:left="720"/>
        <w:rPr>
          <w:lang w:val="fr-FR"/>
        </w:rPr>
      </w:pPr>
      <w:r>
        <w:rPr>
          <w:lang w:val="fr-FR"/>
        </w:rPr>
        <w:t>resource</w:t>
      </w:r>
    </w:p>
    <w:p w:rsidR="002C7BEF" w:rsidRDefault="00BD037B">
      <w:pPr>
        <w:ind w:left="1440"/>
        <w:rPr>
          <w:lang w:val="fr-FR"/>
        </w:rPr>
      </w:pPr>
      <w:r>
        <w:rPr>
          <w:lang w:val="fr-FR"/>
        </w:rPr>
        <w:t xml:space="preserve">La ressource pour les requêtes par vecteur est </w:t>
      </w:r>
      <w:r>
        <w:rPr>
          <w:color w:val="FF0000"/>
          <w:shd w:val="clear" w:color="auto" w:fill="D9D9D9"/>
          <w:lang w:val="fr-FR"/>
        </w:rPr>
        <w:t>vector</w:t>
      </w:r>
      <w:r>
        <w:rPr>
          <w:lang w:val="fr-FR"/>
        </w:rPr>
        <w:t>.</w:t>
      </w:r>
    </w:p>
    <w:p w:rsidR="002C7BEF" w:rsidRDefault="00BD037B">
      <w:pPr>
        <w:pStyle w:val="Heading3"/>
        <w:ind w:left="720"/>
        <w:rPr>
          <w:lang w:val="fr-FR"/>
        </w:rPr>
      </w:pPr>
      <w:r>
        <w:rPr>
          <w:lang w:val="fr-FR"/>
        </w:rPr>
        <w:t>flowRef</w:t>
      </w:r>
    </w:p>
    <w:p w:rsidR="002C7BEF" w:rsidRDefault="00BD037B">
      <w:pPr>
        <w:ind w:left="1440"/>
        <w:rPr>
          <w:lang w:val="fr-FR"/>
        </w:rPr>
      </w:pPr>
      <w:r>
        <w:rPr>
          <w:lang w:val="fr-FR"/>
        </w:rPr>
        <w:t>Il s’agit d’une référence au flux de données décrivant les données qui doivent être retournées.</w:t>
      </w:r>
    </w:p>
    <w:p w:rsidR="002C7BEF" w:rsidRDefault="00BD037B">
      <w:pPr>
        <w:ind w:left="1440"/>
        <w:rPr>
          <w:lang w:val="fr-FR"/>
        </w:rPr>
      </w:pPr>
      <w:r>
        <w:rPr>
          <w:lang w:val="fr-FR"/>
        </w:rPr>
        <w:t>La syntaxe est l’identificateur de l’organisme qui tient à jour le flux de données, suivi de l’identificateur du flux de données, puis de la version du flux de données, tous les éléments étant séparés par une virgule (« , »).</w:t>
      </w:r>
    </w:p>
    <w:p w:rsidR="002C7BEF" w:rsidRDefault="00BD037B">
      <w:pPr>
        <w:ind w:left="1440"/>
      </w:pPr>
      <w:r>
        <w:t>Par exemple : AGENCY_ID, FLOW_ID, VERSION</w:t>
      </w:r>
    </w:p>
    <w:p w:rsidR="002C7BEF" w:rsidRDefault="00BD037B">
      <w:pPr>
        <w:ind w:left="1440"/>
        <w:rPr>
          <w:lang w:val="fr-FR"/>
        </w:rPr>
      </w:pPr>
      <w:r>
        <w:rPr>
          <w:lang w:val="fr-FR"/>
        </w:rPr>
        <w:t>Si le paramètre ne comprend qu’un de ces trois éléments, celui-ci est considéré comme l’identificateur du flux de données. La valeur de l’identificateur de l’organisme qui tient à jour le flux de données prendra par défaut la valeur de tous ces éléments, alors que la valeur de la version du flux de données prendra par défaut la dernière valeur.</w:t>
      </w:r>
    </w:p>
    <w:p w:rsidR="002C7BEF" w:rsidRDefault="00BD037B">
      <w:pPr>
        <w:ind w:left="1440"/>
        <w:rPr>
          <w:lang w:val="fr-FR"/>
        </w:rPr>
      </w:pPr>
      <w:r>
        <w:rPr>
          <w:lang w:val="fr-FR"/>
        </w:rPr>
        <w:t>Si la chaîne ne comprend que deux de ces trois éléments, ceux-ci sont considérés comme l’identificateur de l’organisme qui tient à jour le flux de données et l’identificateur du flux de données. La valeur de la version du flux de données prendra la dernière valeur par défaut.</w:t>
      </w:r>
    </w:p>
    <w:p w:rsidR="002C7BEF" w:rsidRDefault="002C7BEF">
      <w:pPr>
        <w:ind w:left="1440"/>
        <w:rPr>
          <w:lang w:val="fr-FR"/>
        </w:rPr>
      </w:pPr>
    </w:p>
    <w:p w:rsidR="002C7BEF" w:rsidRDefault="00BD037B">
      <w:pPr>
        <w:pStyle w:val="Heading3"/>
        <w:ind w:left="720"/>
        <w:rPr>
          <w:lang w:val="fr-FR"/>
        </w:rPr>
      </w:pPr>
      <w:r>
        <w:rPr>
          <w:lang w:val="fr-FR"/>
        </w:rPr>
        <w:t>key</w:t>
      </w:r>
    </w:p>
    <w:p w:rsidR="002C7BEF" w:rsidRDefault="00BD037B">
      <w:pPr>
        <w:ind w:left="1440"/>
        <w:rPr>
          <w:lang w:val="fr-FR"/>
        </w:rPr>
      </w:pPr>
      <w:r>
        <w:rPr>
          <w:lang w:val="fr-FR"/>
        </w:rPr>
        <w:t>La combinaison de dimensions permet de définir de manière unique des données statistiques. Une telle combinaison est désignée par une clé de série dans SDMX, et c’est ce qui est requis dans le paramètre de clé.</w:t>
      </w:r>
    </w:p>
    <w:p w:rsidR="002C7BEF" w:rsidRDefault="00BD037B">
      <w:pPr>
        <w:keepNext/>
        <w:ind w:left="1440"/>
        <w:rPr>
          <w:lang w:val="fr-FR"/>
        </w:rPr>
      </w:pPr>
      <w:r>
        <w:rPr>
          <w:lang w:val="fr-FR"/>
        </w:rPr>
        <w:t>Par exemple, supposons que les taux de change peuvent être définis de manière unique par ce qui suit :</w:t>
      </w:r>
    </w:p>
    <w:p w:rsidR="002C7BEF" w:rsidRDefault="00BD037B">
      <w:pPr>
        <w:pStyle w:val="ListParagraph"/>
        <w:numPr>
          <w:ilvl w:val="0"/>
          <w:numId w:val="6"/>
        </w:numPr>
        <w:rPr>
          <w:lang w:val="fr-FR"/>
        </w:rPr>
      </w:pPr>
      <w:r>
        <w:rPr>
          <w:lang w:val="fr-FR"/>
        </w:rPr>
        <w:t xml:space="preserve">la fréquence à laquelle ils sont mesurés (p. ex. quotidiennement </w:t>
      </w:r>
      <w:r>
        <w:rPr>
          <w:rFonts w:cstheme="minorHAnsi"/>
          <w:lang w:val="fr-FR"/>
        </w:rPr>
        <w:t>—</w:t>
      </w:r>
      <w:r>
        <w:rPr>
          <w:lang w:val="fr-FR"/>
        </w:rPr>
        <w:t xml:space="preserve"> code D);</w:t>
      </w:r>
    </w:p>
    <w:p w:rsidR="002C7BEF" w:rsidRDefault="00BD037B">
      <w:pPr>
        <w:pStyle w:val="ListParagraph"/>
        <w:numPr>
          <w:ilvl w:val="0"/>
          <w:numId w:val="6"/>
        </w:numPr>
        <w:rPr>
          <w:lang w:val="fr-FR"/>
        </w:rPr>
      </w:pPr>
      <w:r>
        <w:rPr>
          <w:lang w:val="fr-FR"/>
        </w:rPr>
        <w:t xml:space="preserve">la devise mesurée (p. ex. le dollar américain </w:t>
      </w:r>
      <w:r>
        <w:rPr>
          <w:rFonts w:cstheme="minorHAnsi"/>
          <w:lang w:val="fr-FR"/>
        </w:rPr>
        <w:t>—</w:t>
      </w:r>
      <w:r>
        <w:rPr>
          <w:lang w:val="fr-FR"/>
        </w:rPr>
        <w:t xml:space="preserve"> code USD);</w:t>
      </w:r>
    </w:p>
    <w:p w:rsidR="002C7BEF" w:rsidRDefault="00BD037B">
      <w:pPr>
        <w:pStyle w:val="ListParagraph"/>
        <w:numPr>
          <w:ilvl w:val="0"/>
          <w:numId w:val="6"/>
        </w:numPr>
        <w:rPr>
          <w:lang w:val="fr-FR"/>
        </w:rPr>
      </w:pPr>
      <w:r>
        <w:rPr>
          <w:lang w:val="fr-FR"/>
        </w:rPr>
        <w:t xml:space="preserve">la devise par rapport à laquelle une devise est mesurée (p. ex. l’Euro </w:t>
      </w:r>
      <w:r>
        <w:rPr>
          <w:rFonts w:cstheme="minorHAnsi"/>
          <w:lang w:val="fr-FR"/>
        </w:rPr>
        <w:t>—</w:t>
      </w:r>
      <w:r>
        <w:rPr>
          <w:lang w:val="fr-FR"/>
        </w:rPr>
        <w:t xml:space="preserve"> code EUR);</w:t>
      </w:r>
    </w:p>
    <w:p w:rsidR="002C7BEF" w:rsidRDefault="00BD037B">
      <w:pPr>
        <w:pStyle w:val="ListParagraph"/>
        <w:numPr>
          <w:ilvl w:val="0"/>
          <w:numId w:val="6"/>
        </w:numPr>
        <w:rPr>
          <w:lang w:val="fr-FR"/>
        </w:rPr>
      </w:pPr>
      <w:r>
        <w:rPr>
          <w:lang w:val="fr-FR"/>
        </w:rPr>
        <w:t xml:space="preserve">le type des taux de change (taux de change de référence </w:t>
      </w:r>
      <w:r>
        <w:rPr>
          <w:rFonts w:cstheme="minorHAnsi"/>
          <w:lang w:val="fr-FR"/>
        </w:rPr>
        <w:t>—</w:t>
      </w:r>
      <w:r>
        <w:rPr>
          <w:lang w:val="fr-FR"/>
        </w:rPr>
        <w:t xml:space="preserve"> code SP00);</w:t>
      </w:r>
    </w:p>
    <w:p w:rsidR="002C7BEF" w:rsidRDefault="00BD037B">
      <w:pPr>
        <w:pStyle w:val="ListParagraph"/>
        <w:numPr>
          <w:ilvl w:val="0"/>
          <w:numId w:val="6"/>
        </w:numPr>
        <w:rPr>
          <w:lang w:val="fr-FR"/>
        </w:rPr>
      </w:pPr>
      <w:r>
        <w:rPr>
          <w:lang w:val="fr-FR"/>
        </w:rPr>
        <w:t>la variation de la série (comme une moyenne ou une mesure normalisée pour une fréquence donnée, code A).</w:t>
      </w:r>
    </w:p>
    <w:p w:rsidR="002C7BEF" w:rsidRDefault="00BD037B">
      <w:pPr>
        <w:ind w:left="1440"/>
        <w:rPr>
          <w:lang w:val="fr-FR"/>
        </w:rPr>
      </w:pPr>
      <w:r>
        <w:rPr>
          <w:lang w:val="fr-FR"/>
        </w:rPr>
        <w:t>Pour produire une clé de série, vous devez prendre la valeur de chacune des dimensions (dans l’ordre dans lequel les dimensions sont définies dans la DSM) et les séparer avec un point (« . »). La clé de série pour l’exemple ci-dessus devient donc « D.USD.EUR.SP00.A ».</w:t>
      </w:r>
    </w:p>
    <w:p w:rsidR="002C7BEF" w:rsidRDefault="00BD037B">
      <w:pPr>
        <w:ind w:left="1440"/>
        <w:rPr>
          <w:lang w:val="fr-FR"/>
        </w:rPr>
      </w:pPr>
      <w:r>
        <w:rPr>
          <w:lang w:val="fr-FR"/>
        </w:rPr>
        <w:t>L’utilisation de caractères de remplacement est prise en charge en omettant la valeur pour la dimension à être remplacée. Par exemple, la clé de série suivante peut être utilisée pour extraire les données pour toutes les devises au taux du jour par rapport à l’euro : « D..EUR.SP00.A ».</w:t>
      </w:r>
    </w:p>
    <w:p w:rsidR="002C7BEF" w:rsidRDefault="00BD037B">
      <w:pPr>
        <w:ind w:left="1440"/>
        <w:rPr>
          <w:lang w:val="fr-FR"/>
        </w:rPr>
      </w:pPr>
      <w:r>
        <w:rPr>
          <w:lang w:val="fr-FR"/>
        </w:rPr>
        <w:t>L’opérateur OR (ou) est pris en charge par l’utilisation du caractère « + » (plus). Par exemple, la clé suivante peut être utilisée pour extraire les taux de change par rapport à l’euro pour le dollar américain et le yen japonais : « D.USD+JPY.EUR.SP00.A ».</w:t>
      </w:r>
    </w:p>
    <w:p w:rsidR="002C7BEF" w:rsidRDefault="00BD037B">
      <w:pPr>
        <w:ind w:left="1440"/>
        <w:rPr>
          <w:lang w:val="fr-FR"/>
        </w:rPr>
      </w:pPr>
      <w:r>
        <w:rPr>
          <w:lang w:val="fr-FR"/>
        </w:rPr>
        <w:t>Bien entendu, vous pouvez combiner le remplacement de caractère et l’opérateur OR. Par exemple, la clé suivante peut être utilisée pour extraire les taux de change quotidiens ou mensuels de n’importe quelle devise par rapport à l’euro : « D+M..EUR.SP00.A ».</w:t>
      </w:r>
    </w:p>
    <w:p w:rsidR="002C7BEF" w:rsidRDefault="00BD037B">
      <w:pPr>
        <w:pStyle w:val="Heading3"/>
        <w:ind w:left="720"/>
        <w:rPr>
          <w:lang w:val="fr-FR"/>
        </w:rPr>
      </w:pPr>
      <w:r>
        <w:rPr>
          <w:lang w:val="fr-FR"/>
        </w:rPr>
        <w:t>startPeriod et endPeriod</w:t>
      </w:r>
    </w:p>
    <w:p w:rsidR="002C7BEF" w:rsidRDefault="00BD037B">
      <w:pPr>
        <w:ind w:left="1440"/>
        <w:rPr>
          <w:lang w:val="fr-FR"/>
        </w:rPr>
      </w:pPr>
      <w:r>
        <w:rPr>
          <w:lang w:val="fr-FR"/>
        </w:rPr>
        <w:t xml:space="preserve">Il est possible de définir une période pour laquelle des observations doivent être retournées en utilisant les paramètres </w:t>
      </w:r>
      <w:r>
        <w:rPr>
          <w:color w:val="FF0000"/>
          <w:highlight w:val="lightGray"/>
          <w:lang w:val="fr-FR"/>
        </w:rPr>
        <w:t>startPeriod</w:t>
      </w:r>
      <w:r>
        <w:rPr>
          <w:color w:val="FF0000"/>
          <w:lang w:val="fr-FR"/>
        </w:rPr>
        <w:t xml:space="preserve"> </w:t>
      </w:r>
      <w:r>
        <w:rPr>
          <w:lang w:val="fr-FR"/>
        </w:rPr>
        <w:t xml:space="preserve">et </w:t>
      </w:r>
      <w:r>
        <w:rPr>
          <w:color w:val="FF0000"/>
          <w:highlight w:val="lightGray"/>
          <w:lang w:val="fr-FR"/>
        </w:rPr>
        <w:t>endPeriod</w:t>
      </w:r>
      <w:r>
        <w:rPr>
          <w:lang w:val="fr-FR"/>
        </w:rPr>
        <w:t>. Les valeurs doivent être fournies en respectant la syntaxe définie dans la norme ISO 8601 ou comme des périodes de déclaration SDMX. Le format variera selon la fréquence.</w:t>
      </w:r>
    </w:p>
    <w:p w:rsidR="002C7BEF" w:rsidRDefault="00BD037B">
      <w:pPr>
        <w:ind w:left="1440"/>
        <w:rPr>
          <w:lang w:val="fr-FR"/>
        </w:rPr>
      </w:pPr>
      <w:r>
        <w:rPr>
          <w:lang w:val="fr-FR"/>
        </w:rPr>
        <w:t>Voici les formats pris en charge :</w:t>
      </w:r>
    </w:p>
    <w:p w:rsidR="002C7BEF" w:rsidRDefault="00BD037B">
      <w:pPr>
        <w:pStyle w:val="ListParagraph"/>
        <w:numPr>
          <w:ilvl w:val="0"/>
          <w:numId w:val="4"/>
        </w:numPr>
        <w:ind w:left="2160"/>
        <w:rPr>
          <w:lang w:val="fr-FR"/>
        </w:rPr>
      </w:pPr>
      <w:r>
        <w:rPr>
          <w:lang w:val="fr-FR"/>
        </w:rPr>
        <w:t>AAAA pour les données annuelles (p. ex. 2013);</w:t>
      </w:r>
    </w:p>
    <w:p w:rsidR="002C7BEF" w:rsidRDefault="00BD037B">
      <w:pPr>
        <w:pStyle w:val="ListParagraph"/>
        <w:numPr>
          <w:ilvl w:val="0"/>
          <w:numId w:val="4"/>
        </w:numPr>
        <w:ind w:left="2160"/>
        <w:rPr>
          <w:lang w:val="fr-FR"/>
        </w:rPr>
      </w:pPr>
      <w:r>
        <w:rPr>
          <w:lang w:val="fr-FR"/>
        </w:rPr>
        <w:t>AAAA-MM pour des données mensuelles (p. ex. 2013-01);</w:t>
      </w:r>
    </w:p>
    <w:p w:rsidR="002C7BEF" w:rsidRDefault="00BD037B">
      <w:pPr>
        <w:pStyle w:val="ListParagraph"/>
        <w:numPr>
          <w:ilvl w:val="0"/>
          <w:numId w:val="4"/>
        </w:numPr>
        <w:ind w:left="2160"/>
        <w:rPr>
          <w:lang w:val="fr-FR"/>
        </w:rPr>
      </w:pPr>
      <w:r>
        <w:rPr>
          <w:lang w:val="fr-FR"/>
        </w:rPr>
        <w:t>AAAA-MM-JJ pour des données quotidiennes (p. ex. 2013-01-01).</w:t>
      </w:r>
    </w:p>
    <w:p w:rsidR="002C7BEF" w:rsidRDefault="002C7BEF">
      <w:pPr>
        <w:ind w:left="720"/>
        <w:rPr>
          <w:lang w:val="fr-FR"/>
        </w:rPr>
      </w:pPr>
    </w:p>
    <w:p w:rsidR="002C7BEF" w:rsidRDefault="00BD037B">
      <w:pPr>
        <w:pStyle w:val="Heading3"/>
        <w:ind w:left="720"/>
        <w:rPr>
          <w:lang w:val="fr-FR"/>
        </w:rPr>
      </w:pPr>
      <w:r>
        <w:rPr>
          <w:lang w:val="fr-FR"/>
        </w:rPr>
        <w:t>Detail</w:t>
      </w:r>
    </w:p>
    <w:p w:rsidR="002C7BEF" w:rsidRDefault="00BD037B">
      <w:pPr>
        <w:ind w:left="1440"/>
        <w:rPr>
          <w:lang w:val="fr-FR"/>
        </w:rPr>
      </w:pPr>
      <w:r>
        <w:rPr>
          <w:lang w:val="fr-FR"/>
        </w:rPr>
        <w:t xml:space="preserve">En utilisant le paramètre </w:t>
      </w:r>
      <w:r>
        <w:rPr>
          <w:color w:val="FF0000"/>
          <w:highlight w:val="lightGray"/>
          <w:lang w:val="fr-FR"/>
        </w:rPr>
        <w:t>detail</w:t>
      </w:r>
      <w:r>
        <w:rPr>
          <w:lang w:val="fr-FR"/>
        </w:rPr>
        <w:t>, vous pouvez préciser la quantité souhaitée de renseignements à retourner par le service Web.</w:t>
      </w:r>
    </w:p>
    <w:p w:rsidR="002C7BEF" w:rsidRDefault="00BD037B">
      <w:pPr>
        <w:ind w:left="1440"/>
      </w:pPr>
      <w:r>
        <w:t>Voici les options possibles :</w:t>
      </w:r>
    </w:p>
    <w:p w:rsidR="002C7BEF" w:rsidRDefault="00BD037B">
      <w:pPr>
        <w:pStyle w:val="ListParagraph"/>
        <w:numPr>
          <w:ilvl w:val="0"/>
          <w:numId w:val="5"/>
        </w:numPr>
        <w:ind w:left="2160"/>
      </w:pPr>
      <w:r>
        <w:rPr>
          <w:color w:val="FF0000"/>
          <w:highlight w:val="lightGray"/>
          <w:lang w:val="fr-FR"/>
        </w:rPr>
        <w:t>full</w:t>
      </w:r>
      <w:r>
        <w:rPr>
          <w:lang w:val="fr-FR"/>
        </w:rPr>
        <w:t xml:space="preserve"> : Les données (série et observations) et les attributs doivent être retournés. </w:t>
      </w:r>
      <w:r>
        <w:t>Il s’agit de la valeur par défaut.</w:t>
      </w:r>
    </w:p>
    <w:p w:rsidR="002C7BEF" w:rsidRDefault="002C7BEF">
      <w:pPr>
        <w:pStyle w:val="ListParagraph"/>
        <w:rPr>
          <w:lang w:val="fr-FR"/>
        </w:rPr>
      </w:pPr>
    </w:p>
    <w:p w:rsidR="002C7BEF" w:rsidRDefault="002C7BEF">
      <w:pPr>
        <w:ind w:left="720"/>
        <w:rPr>
          <w:lang w:val="fr-FR"/>
        </w:rPr>
      </w:pPr>
    </w:p>
    <w:p w:rsidR="002C7BEF" w:rsidRDefault="00BD037B">
      <w:pPr>
        <w:pStyle w:val="Heading3"/>
        <w:ind w:left="720"/>
        <w:rPr>
          <w:lang w:val="fr-FR"/>
        </w:rPr>
      </w:pPr>
      <w:r>
        <w:rPr>
          <w:lang w:val="fr-FR"/>
        </w:rPr>
        <w:t>firstNObservations et lastNObservations</w:t>
      </w:r>
    </w:p>
    <w:p w:rsidR="002C7BEF" w:rsidRDefault="00BD037B">
      <w:pPr>
        <w:ind w:left="1440"/>
        <w:rPr>
          <w:lang w:val="fr-FR"/>
        </w:rPr>
      </w:pPr>
      <w:r>
        <w:rPr>
          <w:lang w:val="fr-FR"/>
        </w:rPr>
        <w:t xml:space="preserve">En utilisant les paramètres </w:t>
      </w:r>
      <w:r>
        <w:rPr>
          <w:color w:val="FF0000"/>
          <w:highlight w:val="lightGray"/>
          <w:lang w:val="fr-FR"/>
        </w:rPr>
        <w:t>firstNObservations</w:t>
      </w:r>
      <w:r>
        <w:rPr>
          <w:color w:val="FF0000"/>
          <w:lang w:val="fr-FR"/>
        </w:rPr>
        <w:t xml:space="preserve"> </w:t>
      </w:r>
      <w:r>
        <w:rPr>
          <w:lang w:val="fr-FR"/>
        </w:rPr>
        <w:t xml:space="preserve">et </w:t>
      </w:r>
      <w:r>
        <w:rPr>
          <w:color w:val="FF0000"/>
          <w:highlight w:val="lightGray"/>
          <w:lang w:val="fr-FR"/>
        </w:rPr>
        <w:t>lastNObservations</w:t>
      </w:r>
      <w:r>
        <w:rPr>
          <w:lang w:val="fr-FR"/>
        </w:rPr>
        <w:t>, vous pouvez préciser le nombre maximal d’observations à retourner pour chacune des séries correspondantes, en commençant par la première observation (firstNObservations) ou à partir de l’observation la plus récente (lastNObservations).</w:t>
      </w:r>
    </w:p>
    <w:p w:rsidR="002C7BEF" w:rsidRDefault="002C7BEF">
      <w:pPr>
        <w:rPr>
          <w:lang w:val="fr-FR"/>
        </w:rPr>
      </w:pPr>
    </w:p>
    <w:p w:rsidR="002C7BEF" w:rsidRDefault="00BD037B">
      <w:pPr>
        <w:pStyle w:val="Heading2"/>
      </w:pPr>
      <w:bookmarkStart w:id="19" w:name="_Toc26177266"/>
      <w:bookmarkStart w:id="20" w:name="_Toc42610407"/>
      <w:r>
        <w:t>Exemples</w:t>
      </w:r>
      <w:bookmarkEnd w:id="19"/>
      <w:bookmarkEnd w:id="20"/>
    </w:p>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BD037B">
            <w:pPr>
              <w:pStyle w:val="ListParagraph"/>
              <w:numPr>
                <w:ilvl w:val="0"/>
                <w:numId w:val="8"/>
              </w:numPr>
              <w:spacing w:after="0" w:line="240" w:lineRule="auto"/>
            </w:pPr>
            <w:r>
              <w:rPr>
                <w:lang w:val="fr-FR"/>
              </w:rPr>
              <w:t xml:space="preserve">Récupérer les données de la série 1.1.1 (Canada / Les deux sexes / Tous âges) pour le flux de données 17100005. </w:t>
            </w:r>
            <w:r>
              <w:t>Le tableau 17100005 est présenté en détail à l'annexe 1.</w:t>
            </w:r>
          </w:p>
          <w:p w:rsidR="002C7BEF" w:rsidRDefault="002C7BEF">
            <w:pPr>
              <w:pStyle w:val="ListParagraph"/>
              <w:spacing w:after="0" w:line="240" w:lineRule="auto"/>
              <w:ind w:left="360"/>
            </w:pPr>
          </w:p>
        </w:tc>
      </w:tr>
      <w:tr w:rsidR="002C7BEF">
        <w:tc>
          <w:tcPr>
            <w:tcW w:w="9350" w:type="dxa"/>
            <w:shd w:val="clear" w:color="auto" w:fill="D9E2F3" w:themeFill="accent5" w:themeFillTint="33"/>
          </w:tcPr>
          <w:p w:rsidR="002C7BEF" w:rsidRDefault="002C7BEF">
            <w:pPr>
              <w:spacing w:after="0" w:line="240" w:lineRule="auto"/>
              <w:rPr>
                <w:rStyle w:val="Hyperlink"/>
              </w:rPr>
            </w:pPr>
          </w:p>
          <w:p w:rsidR="002C7BEF" w:rsidRDefault="00BD037B">
            <w:pPr>
              <w:spacing w:after="0" w:line="240" w:lineRule="auto"/>
            </w:pPr>
            <w:r>
              <w:rPr>
                <w:rStyle w:val="Hyperlink"/>
              </w:rPr>
              <w:t>https://www150.statcan.gc.ca/t1/wds/sdmx/statcan/v1/rest/data/DF_17100005/1.1.1</w:t>
            </w:r>
          </w:p>
          <w:p w:rsidR="002C7BEF" w:rsidRDefault="002C7BEF">
            <w:pPr>
              <w:spacing w:after="0" w:line="240" w:lineRule="auto"/>
            </w:pPr>
          </w:p>
        </w:tc>
      </w:tr>
    </w:tbl>
    <w:p w:rsidR="002C7BEF" w:rsidRDefault="002C7BEF"/>
    <w:p w:rsidR="002C7BEF" w:rsidRDefault="00BD037B">
      <w:r>
        <w:t>Résultats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BD037B">
            <w:pPr>
              <w:jc w:val="center"/>
            </w:pPr>
            <w:r>
              <w:object w:dxaOrig="1307" w:dyaOrig="811">
                <v:shape id="ole_rId3" o:spid="_x0000_i1025" style="width:65.25pt;height:40.5pt" coordsize="" o:spt="100" adj="0,,0" path="" stroked="f">
                  <v:stroke joinstyle="miter"/>
                  <v:imagedata r:id="rId9" o:title=""/>
                  <v:formulas/>
                  <v:path o:connecttype="segments"/>
                </v:shape>
                <o:OLEObject Type="Embed" ProgID="Package" ShapeID="ole_rId3" DrawAspect="Content" ObjectID="_1704007530" r:id="rId10"/>
              </w:object>
            </w:r>
          </w:p>
        </w:tc>
      </w:tr>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BD037B">
            <w:pPr>
              <w:jc w:val="center"/>
            </w:pPr>
            <w:r>
              <w:object w:dxaOrig="1247" w:dyaOrig="811">
                <v:shape id="ole_rId5" o:spid="_x0000_i1026" style="width:62.25pt;height:40.5pt" coordsize="" o:spt="100" adj="0,,0" path="" stroked="f">
                  <v:stroke joinstyle="miter"/>
                  <v:imagedata r:id="rId11" o:title=""/>
                  <v:formulas/>
                  <v:path o:connecttype="segments"/>
                </v:shape>
                <o:OLEObject Type="Embed" ProgID="Package" ShapeID="ole_rId5" DrawAspect="Content" ObjectID="_1704007531" r:id="rId12"/>
              </w:object>
            </w:r>
          </w:p>
        </w:tc>
      </w:tr>
      <w:tr w:rsidR="002C7BEF">
        <w:tc>
          <w:tcPr>
            <w:tcW w:w="3475" w:type="dxa"/>
          </w:tcPr>
          <w:p w:rsidR="002C7BEF" w:rsidRDefault="00BD037B">
            <w:pPr>
              <w:tabs>
                <w:tab w:val="center" w:pos="1061"/>
              </w:tabs>
              <w:jc w:val="center"/>
              <w:rPr>
                <w:b/>
                <w:sz w:val="24"/>
                <w:szCs w:val="24"/>
              </w:rPr>
            </w:pPr>
            <w:r>
              <w:rPr>
                <w:b/>
                <w:sz w:val="24"/>
                <w:szCs w:val="24"/>
              </w:rPr>
              <w:t>SDMX-JSON</w:t>
            </w:r>
          </w:p>
        </w:tc>
        <w:tc>
          <w:tcPr>
            <w:tcW w:w="5029" w:type="dxa"/>
          </w:tcPr>
          <w:p w:rsidR="002C7BEF" w:rsidRDefault="00BD037B">
            <w:pPr>
              <w:jc w:val="center"/>
            </w:pPr>
            <w:r>
              <w:object w:dxaOrig="1397" w:dyaOrig="811">
                <v:shape id="ole_rId7" o:spid="_x0000_i1027" style="width:69.75pt;height:40.5pt" coordsize="" o:spt="100" adj="0,,0" path="" stroked="f">
                  <v:stroke joinstyle="miter"/>
                  <v:imagedata r:id="rId13" o:title=""/>
                  <v:formulas/>
                  <v:path o:connecttype="segments"/>
                </v:shape>
                <o:OLEObject Type="Embed" ProgID="Package" ShapeID="ole_rId7" DrawAspect="Content" ObjectID="_1704007532" r:id="rId14"/>
              </w:object>
            </w:r>
          </w:p>
        </w:tc>
      </w:tr>
    </w:tbl>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BD037B">
            <w:pPr>
              <w:pStyle w:val="ListParagraph"/>
              <w:numPr>
                <w:ilvl w:val="0"/>
                <w:numId w:val="8"/>
              </w:numPr>
              <w:spacing w:after="0" w:line="240" w:lineRule="auto"/>
              <w:rPr>
                <w:lang w:val="fr-FR"/>
              </w:rPr>
            </w:pPr>
            <w:r>
              <w:rPr>
                <w:lang w:val="fr-FR"/>
              </w:rPr>
              <w:t>Récupérer les données des séries 1.2+3.1 (Canada / Hommes &amp; Femmes / Tous âges) pour le flux de données 1710000005. Le tableau 17100005 est présenté en détail à l'annexe 1.</w:t>
            </w:r>
          </w:p>
          <w:p w:rsidR="002C7BEF" w:rsidRDefault="002C7BEF">
            <w:pPr>
              <w:pStyle w:val="ListParagraph"/>
              <w:spacing w:after="0" w:line="240" w:lineRule="auto"/>
              <w:ind w:left="360"/>
              <w:rPr>
                <w:lang w:val="fr-FR"/>
              </w:rPr>
            </w:pPr>
          </w:p>
        </w:tc>
      </w:tr>
      <w:tr w:rsidR="002C7BEF">
        <w:tc>
          <w:tcPr>
            <w:tcW w:w="9350" w:type="dxa"/>
            <w:shd w:val="clear" w:color="auto" w:fill="D9E2F3" w:themeFill="accent5" w:themeFillTint="33"/>
          </w:tcPr>
          <w:p w:rsidR="002C7BEF" w:rsidRDefault="002C7BEF">
            <w:pPr>
              <w:spacing w:after="0" w:line="240" w:lineRule="auto"/>
              <w:rPr>
                <w:lang w:val="fr-FR"/>
              </w:rPr>
            </w:pPr>
          </w:p>
          <w:p w:rsidR="002C7BEF" w:rsidRDefault="00BD037B">
            <w:pPr>
              <w:spacing w:after="0" w:line="240" w:lineRule="auto"/>
              <w:rPr>
                <w:lang w:val="fr-FR"/>
              </w:rPr>
            </w:pPr>
            <w:r>
              <w:rPr>
                <w:rStyle w:val="Hyperlink"/>
                <w:lang w:val="fr-FR"/>
              </w:rPr>
              <w:t>https://www150.statcan.gc.ca/t1/wds/sdmx/statcan/v1/rest/data/DF_17100005/1.2+3.1</w:t>
            </w:r>
          </w:p>
          <w:p w:rsidR="002C7BEF" w:rsidRDefault="002C7BEF">
            <w:pPr>
              <w:spacing w:after="0" w:line="240" w:lineRule="auto"/>
              <w:rPr>
                <w:lang w:val="fr-FR"/>
              </w:rPr>
            </w:pPr>
          </w:p>
        </w:tc>
      </w:tr>
    </w:tbl>
    <w:p w:rsidR="002C7BEF" w:rsidRDefault="002C7BEF">
      <w:pPr>
        <w:rPr>
          <w:lang w:val="fr-FR"/>
        </w:rPr>
      </w:pPr>
    </w:p>
    <w:p w:rsidR="002C7BEF" w:rsidRDefault="00BD037B">
      <w:r>
        <w:t>Résultats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BD037B">
            <w:pPr>
              <w:tabs>
                <w:tab w:val="left" w:pos="440"/>
                <w:tab w:val="center" w:pos="1594"/>
              </w:tabs>
              <w:jc w:val="center"/>
              <w:rPr>
                <w:rFonts w:cstheme="minorHAnsi"/>
                <w:b/>
                <w:sz w:val="24"/>
                <w:szCs w:val="24"/>
                <w:lang w:val="fr-FR"/>
              </w:rPr>
            </w:pPr>
            <w:r>
              <w:rPr>
                <w:rFonts w:cstheme="minorHAnsi"/>
                <w:b/>
                <w:color w:val="555555"/>
                <w:sz w:val="24"/>
                <w:szCs w:val="24"/>
                <w:lang w:val="fr-FR"/>
              </w:rPr>
              <w:t xml:space="preserve">SDMX-ML 2.1 </w:t>
            </w:r>
            <w:r>
              <w:rPr>
                <w:b/>
                <w:sz w:val="24"/>
                <w:szCs w:val="24"/>
                <w:lang w:val="fr-FR"/>
              </w:rPr>
              <w:t>Generic</w:t>
            </w:r>
            <w:r>
              <w:rPr>
                <w:rFonts w:cstheme="minorHAnsi"/>
                <w:b/>
                <w:color w:val="555555"/>
                <w:sz w:val="24"/>
                <w:szCs w:val="24"/>
                <w:lang w:val="fr-FR"/>
              </w:rPr>
              <w:t xml:space="preserve"> Data</w:t>
            </w:r>
          </w:p>
        </w:tc>
        <w:tc>
          <w:tcPr>
            <w:tcW w:w="5029" w:type="dxa"/>
          </w:tcPr>
          <w:p w:rsidR="002C7BEF" w:rsidRDefault="00BD037B">
            <w:pPr>
              <w:jc w:val="center"/>
            </w:pPr>
            <w:r>
              <w:object w:dxaOrig="1307" w:dyaOrig="811">
                <v:shape id="ole_rId9" o:spid="_x0000_i1028" style="width:65.25pt;height:40.5pt" coordsize="" o:spt="100" adj="0,,0" path="" stroked="f">
                  <v:stroke joinstyle="miter"/>
                  <v:imagedata r:id="rId15" o:title=""/>
                  <v:formulas/>
                  <v:path o:connecttype="segments"/>
                </v:shape>
                <o:OLEObject Type="Embed" ProgID="Package" ShapeID="ole_rId9" DrawAspect="Content" ObjectID="_1704007533" r:id="rId16"/>
              </w:object>
            </w:r>
          </w:p>
        </w:tc>
      </w:tr>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BD037B">
            <w:pPr>
              <w:jc w:val="center"/>
            </w:pPr>
            <w:r>
              <w:object w:dxaOrig="1247" w:dyaOrig="811">
                <v:shape id="ole_rId11" o:spid="_x0000_i1029" style="width:62.25pt;height:40.5pt" coordsize="" o:spt="100" adj="0,,0" path="" stroked="f">
                  <v:stroke joinstyle="miter"/>
                  <v:imagedata r:id="rId17" o:title=""/>
                  <v:formulas/>
                  <v:path o:connecttype="segments"/>
                </v:shape>
                <o:OLEObject Type="Embed" ProgID="Package" ShapeID="ole_rId11" DrawAspect="Content" ObjectID="_1704007534" r:id="rId18"/>
              </w:object>
            </w:r>
          </w:p>
        </w:tc>
      </w:tr>
      <w:tr w:rsidR="002C7BEF">
        <w:tc>
          <w:tcPr>
            <w:tcW w:w="3475" w:type="dxa"/>
          </w:tcPr>
          <w:p w:rsidR="002C7BEF" w:rsidRDefault="00BD037B">
            <w:pPr>
              <w:tabs>
                <w:tab w:val="center" w:pos="1061"/>
              </w:tabs>
              <w:jc w:val="center"/>
              <w:rPr>
                <w:b/>
                <w:sz w:val="24"/>
                <w:szCs w:val="24"/>
              </w:rPr>
            </w:pPr>
            <w:r>
              <w:rPr>
                <w:b/>
                <w:sz w:val="24"/>
                <w:szCs w:val="24"/>
              </w:rPr>
              <w:t>SDMX-JSON</w:t>
            </w:r>
          </w:p>
        </w:tc>
        <w:tc>
          <w:tcPr>
            <w:tcW w:w="5029" w:type="dxa"/>
          </w:tcPr>
          <w:p w:rsidR="002C7BEF" w:rsidRDefault="00BD037B">
            <w:pPr>
              <w:jc w:val="center"/>
            </w:pPr>
            <w:r>
              <w:object w:dxaOrig="1397" w:dyaOrig="811">
                <v:shape id="ole_rId13" o:spid="_x0000_i1030" style="width:69.75pt;height:40.5pt" coordsize="" o:spt="100" adj="0,,0" path="" stroked="f">
                  <v:stroke joinstyle="miter"/>
                  <v:imagedata r:id="rId19" o:title=""/>
                  <v:formulas/>
                  <v:path o:connecttype="segments"/>
                </v:shape>
                <o:OLEObject Type="Embed" ProgID="Package" ShapeID="ole_rId13" DrawAspect="Content" ObjectID="_1704007535" r:id="rId20"/>
              </w:object>
            </w:r>
          </w:p>
        </w:tc>
      </w:tr>
    </w:tbl>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BD037B">
            <w:pPr>
              <w:pStyle w:val="ListParagraph"/>
              <w:numPr>
                <w:ilvl w:val="0"/>
                <w:numId w:val="8"/>
              </w:numPr>
              <w:spacing w:after="0" w:line="240" w:lineRule="auto"/>
              <w:rPr>
                <w:lang w:val="fr-FR"/>
              </w:rPr>
            </w:pPr>
            <w:r>
              <w:rPr>
                <w:lang w:val="fr-FR"/>
              </w:rPr>
              <w:t>Récupérer les données pour les séries .1.138 (toutes les géographies / les deux sexes / 100 ans et plus) pour le flux de données 1710000005 et pour les années de référence 2015 et 2016. Le tableau 17100005 est présenté en détail à l'annexe 1.</w:t>
            </w:r>
          </w:p>
          <w:p w:rsidR="002C7BEF" w:rsidRDefault="002C7BEF">
            <w:pPr>
              <w:pStyle w:val="ListParagraph"/>
              <w:spacing w:after="0" w:line="240" w:lineRule="auto"/>
              <w:ind w:left="360"/>
              <w:rPr>
                <w:lang w:val="fr-FR"/>
              </w:rPr>
            </w:pPr>
          </w:p>
        </w:tc>
      </w:tr>
      <w:tr w:rsidR="002C7BEF">
        <w:tc>
          <w:tcPr>
            <w:tcW w:w="9350" w:type="dxa"/>
            <w:shd w:val="clear" w:color="auto" w:fill="D9E2F3" w:themeFill="accent5" w:themeFillTint="33"/>
          </w:tcPr>
          <w:p w:rsidR="002C7BEF" w:rsidRDefault="002C7BEF">
            <w:pPr>
              <w:spacing w:after="0" w:line="240" w:lineRule="auto"/>
              <w:rPr>
                <w:lang w:val="fr-FR"/>
              </w:rPr>
            </w:pPr>
          </w:p>
          <w:p w:rsidR="002C7BEF" w:rsidRDefault="00BD037B">
            <w:pPr>
              <w:spacing w:after="0" w:line="240" w:lineRule="auto"/>
            </w:pPr>
            <w:r>
              <w:rPr>
                <w:rStyle w:val="Hyperlink"/>
              </w:rPr>
              <w:t>https://www150.statcan.gc.ca/t1/wds/sdmx/statcan/v1/rest/data/DF_17100005/.1.138?startPeriod=2015&amp;endPeriod=2016</w:t>
            </w:r>
          </w:p>
          <w:p w:rsidR="002C7BEF" w:rsidRDefault="002C7BEF">
            <w:pPr>
              <w:spacing w:after="0" w:line="240" w:lineRule="auto"/>
              <w:rPr>
                <w:rStyle w:val="Hyperlink"/>
              </w:rPr>
            </w:pPr>
          </w:p>
          <w:p w:rsidR="002C7BEF" w:rsidRDefault="002C7BEF">
            <w:pPr>
              <w:spacing w:after="0" w:line="240" w:lineRule="auto"/>
              <w:rPr>
                <w:rStyle w:val="Hyperlink"/>
              </w:rPr>
            </w:pPr>
          </w:p>
        </w:tc>
      </w:tr>
    </w:tbl>
    <w:p w:rsidR="002C7BEF" w:rsidRDefault="002C7BEF"/>
    <w:p w:rsidR="002C7BEF" w:rsidRDefault="00BD037B">
      <w:r>
        <w:t>Résultats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BD037B">
            <w:pPr>
              <w:jc w:val="center"/>
            </w:pPr>
            <w:r>
              <w:object w:dxaOrig="1307" w:dyaOrig="811">
                <v:shape id="ole_rId15" o:spid="_x0000_i1031" style="width:65.25pt;height:40.5pt" coordsize="" o:spt="100" adj="0,,0" path="" stroked="f">
                  <v:stroke joinstyle="miter"/>
                  <v:imagedata r:id="rId21" o:title=""/>
                  <v:formulas/>
                  <v:path o:connecttype="segments"/>
                </v:shape>
                <o:OLEObject Type="Embed" ProgID="Package" ShapeID="ole_rId15" DrawAspect="Content" ObjectID="_1704007536" r:id="rId22"/>
              </w:object>
            </w:r>
          </w:p>
        </w:tc>
      </w:tr>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BD037B">
            <w:pPr>
              <w:jc w:val="center"/>
            </w:pPr>
            <w:r>
              <w:object w:dxaOrig="1247" w:dyaOrig="811">
                <v:shape id="ole_rId17" o:spid="_x0000_i1032" style="width:62.25pt;height:40.5pt" coordsize="" o:spt="100" adj="0,,0" path="" stroked="f">
                  <v:stroke joinstyle="miter"/>
                  <v:imagedata r:id="rId23" o:title=""/>
                  <v:formulas/>
                  <v:path o:connecttype="segments"/>
                </v:shape>
                <o:OLEObject Type="Embed" ProgID="Package" ShapeID="ole_rId17" DrawAspect="Content" ObjectID="_1704007537" r:id="rId24"/>
              </w:object>
            </w:r>
          </w:p>
        </w:tc>
      </w:tr>
      <w:tr w:rsidR="002C7BEF">
        <w:tc>
          <w:tcPr>
            <w:tcW w:w="3475" w:type="dxa"/>
          </w:tcPr>
          <w:p w:rsidR="002C7BEF" w:rsidRDefault="00BD037B">
            <w:pPr>
              <w:tabs>
                <w:tab w:val="center" w:pos="1061"/>
              </w:tabs>
              <w:jc w:val="center"/>
              <w:rPr>
                <w:b/>
                <w:sz w:val="24"/>
                <w:szCs w:val="24"/>
              </w:rPr>
            </w:pPr>
            <w:r>
              <w:rPr>
                <w:b/>
                <w:sz w:val="24"/>
                <w:szCs w:val="24"/>
              </w:rPr>
              <w:t>SDMX-JSON</w:t>
            </w:r>
          </w:p>
        </w:tc>
        <w:tc>
          <w:tcPr>
            <w:tcW w:w="5029" w:type="dxa"/>
          </w:tcPr>
          <w:p w:rsidR="002C7BEF" w:rsidRDefault="00BD037B">
            <w:pPr>
              <w:jc w:val="center"/>
            </w:pPr>
            <w:r>
              <w:object w:dxaOrig="1397" w:dyaOrig="811">
                <v:shape id="ole_rId19" o:spid="_x0000_i1033" style="width:69.75pt;height:40.5pt" coordsize="" o:spt="100" adj="0,,0" path="" stroked="f">
                  <v:stroke joinstyle="miter"/>
                  <v:imagedata r:id="rId25" o:title=""/>
                  <v:formulas/>
                  <v:path o:connecttype="segments"/>
                </v:shape>
                <o:OLEObject Type="Embed" ProgID="Package" ShapeID="ole_rId19" DrawAspect="Content" ObjectID="_1704007538" r:id="rId26"/>
              </w:object>
            </w:r>
          </w:p>
        </w:tc>
      </w:tr>
    </w:tbl>
    <w:p w:rsidR="002C7BEF" w:rsidRDefault="002C7BEF"/>
    <w:p w:rsidR="002C7BEF" w:rsidRDefault="002C7BEF">
      <w:pPr>
        <w:rPr>
          <w:lang w:val="fr-FR"/>
        </w:rPr>
      </w:pPr>
    </w:p>
    <w:p w:rsidR="002C7BEF" w:rsidRDefault="00BD037B">
      <w:pPr>
        <w:pStyle w:val="Heading1"/>
        <w:rPr>
          <w:lang w:val="fr-FR"/>
        </w:rPr>
      </w:pPr>
      <w:bookmarkStart w:id="21" w:name="_Toc26177267"/>
      <w:bookmarkStart w:id="22" w:name="_Toc25835519"/>
      <w:bookmarkStart w:id="23" w:name="_Toc42610408"/>
      <w:r>
        <w:rPr>
          <w:lang w:val="fr-FR"/>
        </w:rPr>
        <w:t>Service Web de données SDMX (vecteur)</w:t>
      </w:r>
      <w:bookmarkEnd w:id="21"/>
      <w:bookmarkEnd w:id="22"/>
      <w:bookmarkEnd w:id="23"/>
    </w:p>
    <w:p w:rsidR="002C7BEF" w:rsidRDefault="002C7BEF">
      <w:pPr>
        <w:keepNext/>
        <w:rPr>
          <w:lang w:val="fr-FR"/>
        </w:rPr>
      </w:pPr>
    </w:p>
    <w:p w:rsidR="002C7BEF" w:rsidRDefault="00BD037B">
      <w:pPr>
        <w:rPr>
          <w:lang w:val="fr-FR"/>
        </w:rPr>
      </w:pPr>
      <w:r>
        <w:rPr>
          <w:rFonts w:ascii="Helvetica" w:hAnsi="Helvetica"/>
          <w:color w:val="555555"/>
          <w:sz w:val="21"/>
          <w:szCs w:val="21"/>
          <w:shd w:val="clear" w:color="auto" w:fill="FFFFFF"/>
          <w:lang w:val="fr-FR"/>
        </w:rPr>
        <w:t>Toutes les données stockées dans l’ECDS peuvent être extraites à l’aide de la chaîne de requête décrite ci-dessous.</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lang w:val="fr-FR"/>
        </w:rPr>
      </w:pPr>
      <w:r>
        <w:rPr>
          <w:lang w:val="fr-FR"/>
        </w:rPr>
        <w:tab/>
      </w:r>
      <w:r>
        <w:rPr>
          <w:rFonts w:ascii="Consolas" w:hAnsi="Consolas"/>
          <w:color w:val="2FA4E7"/>
          <w:lang w:val="fr-FR"/>
        </w:rPr>
        <w:t>protocol</w:t>
      </w:r>
      <w:r>
        <w:rPr>
          <w:rFonts w:ascii="Consolas" w:hAnsi="Consolas"/>
          <w:color w:val="333333"/>
          <w:lang w:val="fr-FR"/>
        </w:rPr>
        <w:t>://</w:t>
      </w:r>
      <w:r>
        <w:rPr>
          <w:rFonts w:ascii="Consolas" w:hAnsi="Consolas"/>
          <w:color w:val="2FA4E7"/>
          <w:lang w:val="fr-FR"/>
        </w:rPr>
        <w:t>wsEntryPoint</w:t>
      </w:r>
      <w:r>
        <w:rPr>
          <w:rFonts w:ascii="Consolas" w:hAnsi="Consolas"/>
          <w:color w:val="333333"/>
          <w:lang w:val="fr-FR"/>
        </w:rPr>
        <w:t>/</w:t>
      </w:r>
      <w:r>
        <w:rPr>
          <w:rFonts w:ascii="Consolas" w:hAnsi="Consolas"/>
          <w:color w:val="2FA4E7"/>
          <w:lang w:val="fr-FR"/>
        </w:rPr>
        <w:t>resource</w:t>
      </w:r>
      <w:r>
        <w:rPr>
          <w:rFonts w:ascii="Consolas" w:hAnsi="Consolas"/>
          <w:color w:val="333333"/>
          <w:lang w:val="fr-FR"/>
        </w:rPr>
        <w:t>/</w:t>
      </w:r>
      <w:r>
        <w:rPr>
          <w:rFonts w:ascii="Consolas" w:hAnsi="Consolas"/>
          <w:color w:val="2FA4E7"/>
          <w:lang w:val="fr-FR"/>
        </w:rPr>
        <w:t>vector</w:t>
      </w:r>
      <w:r>
        <w:rPr>
          <w:rFonts w:ascii="Consolas" w:hAnsi="Consolas"/>
          <w:color w:val="333333"/>
          <w:lang w:val="fr-FR"/>
        </w:rPr>
        <w:t>?</w:t>
      </w:r>
      <w:r>
        <w:rPr>
          <w:rFonts w:ascii="Consolas" w:hAnsi="Consolas"/>
          <w:color w:val="3A87AD"/>
          <w:highlight w:val="yellow"/>
          <w:lang w:val="fr-FR"/>
        </w:rPr>
        <w:t>parameters</w:t>
      </w:r>
    </w:p>
    <w:p w:rsidR="002C7BEF" w:rsidRDefault="002C7BEF">
      <w:pPr>
        <w:rPr>
          <w:rFonts w:ascii="Helvetica" w:hAnsi="Helvetica" w:cs="Helvetica"/>
          <w:color w:val="555555"/>
          <w:sz w:val="21"/>
          <w:szCs w:val="21"/>
          <w:lang w:val="fr-FR"/>
        </w:rPr>
      </w:pPr>
    </w:p>
    <w:p w:rsidR="002C7BEF" w:rsidRDefault="00BD037B">
      <w:pPr>
        <w:rPr>
          <w:lang w:val="fr-FR"/>
        </w:rPr>
      </w:pPr>
      <w:r>
        <w:rPr>
          <w:rFonts w:ascii="Helvetica" w:hAnsi="Helvetica"/>
          <w:color w:val="555555"/>
          <w:sz w:val="21"/>
          <w:szCs w:val="21"/>
          <w:lang w:val="fr-FR"/>
        </w:rPr>
        <w:t xml:space="preserve">dans laquelle </w:t>
      </w:r>
      <w:r>
        <w:rPr>
          <w:rStyle w:val="text-info1"/>
          <w:rFonts w:ascii="Helvetica" w:hAnsi="Helvetica"/>
          <w:sz w:val="21"/>
          <w:szCs w:val="21"/>
          <w:highlight w:val="yellow"/>
          <w:lang w:val="fr-FR"/>
        </w:rPr>
        <w:t>parameters</w:t>
      </w:r>
      <w:r>
        <w:rPr>
          <w:rFonts w:ascii="Helvetica" w:hAnsi="Helvetica"/>
          <w:color w:val="555555"/>
          <w:sz w:val="21"/>
          <w:szCs w:val="21"/>
          <w:lang w:val="fr-FR"/>
        </w:rPr>
        <w:t xml:space="preserve"> est défini comme suit :</w:t>
      </w:r>
    </w:p>
    <w:p w:rsidR="002C7BEF" w:rsidRDefault="00BD037B">
      <w:pPr>
        <w:ind w:left="720"/>
      </w:pPr>
      <w:r>
        <w:rPr>
          <w:rStyle w:val="text-primary1"/>
        </w:rPr>
        <w:t>startPeriod</w:t>
      </w:r>
      <w:r>
        <w:t>=</w:t>
      </w:r>
      <w:r>
        <w:rPr>
          <w:rStyle w:val="text-muted1"/>
        </w:rPr>
        <w:t>value</w:t>
      </w:r>
      <w:r>
        <w:t>&amp;</w:t>
      </w:r>
      <w:r>
        <w:rPr>
          <w:rStyle w:val="text-primary1"/>
        </w:rPr>
        <w:t>endPeriod</w:t>
      </w:r>
      <w:r>
        <w:t>=</w:t>
      </w:r>
      <w:r>
        <w:rPr>
          <w:rStyle w:val="text-muted1"/>
        </w:rPr>
        <w:t>value</w:t>
      </w:r>
      <w:r>
        <w:t>&amp;</w:t>
      </w:r>
      <w:r>
        <w:rPr>
          <w:rStyle w:val="text-primary1"/>
        </w:rPr>
        <w:t>updatedAfter</w:t>
      </w:r>
      <w:r>
        <w:t>=</w:t>
      </w:r>
      <w:r>
        <w:rPr>
          <w:rStyle w:val="text-muted1"/>
        </w:rPr>
        <w:t>value</w:t>
      </w:r>
      <w:r>
        <w:t>&amp;</w:t>
      </w:r>
      <w:r>
        <w:rPr>
          <w:rStyle w:val="text-primary1"/>
        </w:rPr>
        <w:t>firstNObservations</w:t>
      </w:r>
      <w:r>
        <w:t>=</w:t>
      </w:r>
      <w:r>
        <w:rPr>
          <w:rStyle w:val="text-muted1"/>
        </w:rPr>
        <w:t>value</w:t>
      </w:r>
      <w:r>
        <w:t>&amp;</w:t>
      </w:r>
      <w:r>
        <w:rPr>
          <w:rStyle w:val="text-primary1"/>
        </w:rPr>
        <w:t>lastNObservations</w:t>
      </w:r>
      <w:r>
        <w:t>=</w:t>
      </w:r>
      <w:r>
        <w:rPr>
          <w:rStyle w:val="text-muted1"/>
        </w:rPr>
        <w:t>value</w:t>
      </w:r>
      <w:r>
        <w:t>&amp;</w:t>
      </w:r>
      <w:r>
        <w:rPr>
          <w:rStyle w:val="text-primary1"/>
        </w:rPr>
        <w:t>detail</w:t>
      </w:r>
      <w:r>
        <w:t>=</w:t>
      </w:r>
      <w:r>
        <w:rPr>
          <w:rStyle w:val="text-muted1"/>
        </w:rPr>
        <w:t>value</w:t>
      </w:r>
      <w:r>
        <w:t>&amp;</w:t>
      </w:r>
      <w:r>
        <w:rPr>
          <w:rStyle w:val="text-primary1"/>
        </w:rPr>
        <w:t>includeHistory</w:t>
      </w:r>
      <w:r>
        <w:t>=</w:t>
      </w:r>
      <w:r>
        <w:rPr>
          <w:rStyle w:val="text-muted1"/>
        </w:rPr>
        <w:t>value</w:t>
      </w:r>
    </w:p>
    <w:p w:rsidR="002C7BEF" w:rsidRDefault="002C7BEF"/>
    <w:p w:rsidR="002C7BEF" w:rsidRDefault="00BD037B">
      <w:pPr>
        <w:pStyle w:val="Heading2"/>
        <w:rPr>
          <w:lang w:val="fr-FR"/>
        </w:rPr>
      </w:pPr>
      <w:bookmarkStart w:id="24" w:name="_Toc26177268"/>
      <w:bookmarkStart w:id="25" w:name="_Toc25835520"/>
      <w:bookmarkStart w:id="26" w:name="_Toc42610409"/>
      <w:r>
        <w:rPr>
          <w:lang w:val="fr-FR"/>
        </w:rPr>
        <w:t>Définition de la syntaxe</w:t>
      </w:r>
      <w:bookmarkEnd w:id="24"/>
      <w:bookmarkEnd w:id="25"/>
      <w:bookmarkEnd w:id="26"/>
    </w:p>
    <w:p w:rsidR="002C7BEF" w:rsidRDefault="002C7BEF">
      <w:pPr>
        <w:keepNext/>
        <w:rPr>
          <w:lang w:val="fr-FR"/>
        </w:rPr>
      </w:pPr>
    </w:p>
    <w:p w:rsidR="002C7BEF" w:rsidRDefault="00BD037B">
      <w:pPr>
        <w:pStyle w:val="Heading3"/>
        <w:ind w:left="720"/>
        <w:rPr>
          <w:lang w:val="fr-FR"/>
        </w:rPr>
      </w:pPr>
      <w:r>
        <w:rPr>
          <w:lang w:val="fr-FR"/>
        </w:rPr>
        <w:t>protocol</w:t>
      </w:r>
    </w:p>
    <w:p w:rsidR="002C7BEF" w:rsidRDefault="00BD037B">
      <w:pPr>
        <w:ind w:left="1440"/>
        <w:rPr>
          <w:lang w:val="fr-FR"/>
        </w:rPr>
      </w:pPr>
      <w:r>
        <w:rPr>
          <w:lang w:val="fr-FR"/>
        </w:rPr>
        <w:t xml:space="preserve">Le service Web est offert sur </w:t>
      </w:r>
      <w:r>
        <w:rPr>
          <w:color w:val="FF0000"/>
          <w:shd w:val="clear" w:color="auto" w:fill="D9D9D9"/>
          <w:lang w:val="fr-FR"/>
        </w:rPr>
        <w:t>http</w:t>
      </w:r>
      <w:r>
        <w:rPr>
          <w:color w:val="FF0000"/>
          <w:lang w:val="fr-FR"/>
        </w:rPr>
        <w:t xml:space="preserve"> </w:t>
      </w:r>
      <w:r>
        <w:rPr>
          <w:lang w:val="fr-FR"/>
        </w:rPr>
        <w:t>et</w:t>
      </w:r>
      <w:r>
        <w:rPr>
          <w:color w:val="FF0000"/>
          <w:shd w:val="clear" w:color="auto" w:fill="D9D9D9"/>
          <w:lang w:val="fr-FR"/>
        </w:rPr>
        <w:t xml:space="preserve"> https</w:t>
      </w:r>
      <w:r>
        <w:rPr>
          <w:lang w:val="fr-FR"/>
        </w:rPr>
        <w:t>.</w:t>
      </w:r>
    </w:p>
    <w:p w:rsidR="002C7BEF" w:rsidRDefault="00BD037B">
      <w:pPr>
        <w:pStyle w:val="Heading3"/>
        <w:ind w:left="720"/>
        <w:rPr>
          <w:lang w:val="fr-FR"/>
        </w:rPr>
      </w:pPr>
      <w:r>
        <w:rPr>
          <w:lang w:val="fr-FR"/>
        </w:rPr>
        <w:t>wsEntryPoint</w:t>
      </w:r>
    </w:p>
    <w:p w:rsidR="002C7BEF" w:rsidRDefault="00BD037B">
      <w:pPr>
        <w:ind w:left="1440"/>
        <w:rPr>
          <w:lang w:val="fr-FR"/>
        </w:rPr>
      </w:pPr>
      <w:r>
        <w:rPr>
          <w:lang w:val="fr-FR"/>
        </w:rPr>
        <w:t>Le point d’entrée du service Web est accessible au même emplacement que le point d’entrée des données et métadonnées SDMX.</w:t>
      </w:r>
    </w:p>
    <w:p w:rsidR="002C7BEF" w:rsidRDefault="00BD037B">
      <w:pPr>
        <w:pStyle w:val="Heading3"/>
        <w:ind w:left="720"/>
        <w:rPr>
          <w:lang w:val="fr-FR"/>
        </w:rPr>
      </w:pPr>
      <w:r>
        <w:rPr>
          <w:lang w:val="fr-FR"/>
        </w:rPr>
        <w:t>resource</w:t>
      </w:r>
    </w:p>
    <w:p w:rsidR="002C7BEF" w:rsidRDefault="00BD037B">
      <w:pPr>
        <w:ind w:left="1440"/>
        <w:rPr>
          <w:lang w:val="fr-FR"/>
        </w:rPr>
      </w:pPr>
      <w:r>
        <w:rPr>
          <w:lang w:val="fr-FR"/>
        </w:rPr>
        <w:t xml:space="preserve">La ressource pour les requêtes par vecteur est </w:t>
      </w:r>
      <w:r>
        <w:rPr>
          <w:color w:val="FF0000"/>
          <w:shd w:val="clear" w:color="auto" w:fill="D9D9D9"/>
          <w:lang w:val="fr-FR"/>
        </w:rPr>
        <w:t>vector</w:t>
      </w:r>
      <w:r>
        <w:rPr>
          <w:lang w:val="fr-FR"/>
        </w:rPr>
        <w:t>.</w:t>
      </w:r>
    </w:p>
    <w:p w:rsidR="002C7BEF" w:rsidRDefault="00BD037B">
      <w:pPr>
        <w:pStyle w:val="Heading3"/>
        <w:ind w:left="720"/>
        <w:rPr>
          <w:lang w:val="fr-FR"/>
        </w:rPr>
      </w:pPr>
      <w:r>
        <w:rPr>
          <w:lang w:val="fr-FR"/>
        </w:rPr>
        <w:t>vector</w:t>
      </w:r>
    </w:p>
    <w:p w:rsidR="002C7BEF" w:rsidRDefault="00BD037B">
      <w:pPr>
        <w:ind w:left="1440"/>
        <w:rPr>
          <w:lang w:val="fr-FR"/>
        </w:rPr>
      </w:pPr>
      <w:r>
        <w:rPr>
          <w:lang w:val="fr-FR"/>
        </w:rPr>
        <w:t xml:space="preserve">Le </w:t>
      </w:r>
      <w:r>
        <w:rPr>
          <w:color w:val="FF0000"/>
          <w:highlight w:val="lightGray"/>
          <w:lang w:val="fr-FR"/>
        </w:rPr>
        <w:t>vector</w:t>
      </w:r>
      <w:r>
        <w:rPr>
          <w:color w:val="FF0000"/>
          <w:lang w:val="fr-FR"/>
        </w:rPr>
        <w:t xml:space="preserve"> </w:t>
      </w:r>
      <w:r>
        <w:rPr>
          <w:lang w:val="fr-FR"/>
        </w:rPr>
        <w:t>permet de définir une série chronologique statistique. Le vecteur est un identificateur unique pour une série chronologique de points de données (c.-à-d. v123456). Il ne change pas au fil du temps. Puisque le numéro de vecteur ne change pas, les utilisateurs peuvent continuer à utiliser les mêmes vecteurs comme raccourcis vers leurs points de données d’intérêt.</w:t>
      </w:r>
    </w:p>
    <w:p w:rsidR="002C7BEF" w:rsidRDefault="00BD037B">
      <w:pPr>
        <w:pStyle w:val="Heading3"/>
        <w:ind w:left="720"/>
        <w:rPr>
          <w:lang w:val="fr-FR"/>
        </w:rPr>
      </w:pPr>
      <w:r>
        <w:rPr>
          <w:lang w:val="fr-FR"/>
        </w:rPr>
        <w:t>startPeriod et endPeriod</w:t>
      </w:r>
    </w:p>
    <w:p w:rsidR="002C7BEF" w:rsidRDefault="00BD037B">
      <w:pPr>
        <w:ind w:left="1440"/>
        <w:rPr>
          <w:lang w:val="fr-FR"/>
        </w:rPr>
      </w:pPr>
      <w:r>
        <w:rPr>
          <w:lang w:val="fr-FR"/>
        </w:rPr>
        <w:t xml:space="preserve">Il est possible de définir une période pour laquelle des observations doivent être retournées en utilisant les paramètres </w:t>
      </w:r>
      <w:r>
        <w:rPr>
          <w:color w:val="FF0000"/>
          <w:highlight w:val="lightGray"/>
          <w:lang w:val="fr-FR"/>
        </w:rPr>
        <w:t>startPeriod</w:t>
      </w:r>
      <w:r>
        <w:rPr>
          <w:color w:val="FF0000"/>
          <w:lang w:val="fr-FR"/>
        </w:rPr>
        <w:t xml:space="preserve"> </w:t>
      </w:r>
      <w:r>
        <w:rPr>
          <w:lang w:val="fr-FR"/>
        </w:rPr>
        <w:t xml:space="preserve">et </w:t>
      </w:r>
      <w:r>
        <w:rPr>
          <w:color w:val="FF0000"/>
          <w:highlight w:val="lightGray"/>
          <w:lang w:val="fr-FR"/>
        </w:rPr>
        <w:t>endPeriod</w:t>
      </w:r>
      <w:r>
        <w:rPr>
          <w:lang w:val="fr-FR"/>
        </w:rPr>
        <w:t>. Les valeurs doivent être fournies en respectant la syntaxe définie dans la norme ISO 8601 ou comme des périodes de déclaration SDMX. Le format variera selon la fréquence.</w:t>
      </w:r>
    </w:p>
    <w:p w:rsidR="002C7BEF" w:rsidRDefault="00BD037B">
      <w:pPr>
        <w:ind w:left="1440"/>
        <w:rPr>
          <w:lang w:val="fr-FR"/>
        </w:rPr>
      </w:pPr>
      <w:r>
        <w:rPr>
          <w:lang w:val="fr-FR"/>
        </w:rPr>
        <w:t>Voici les formats pris en charge :</w:t>
      </w:r>
    </w:p>
    <w:p w:rsidR="002C7BEF" w:rsidRDefault="00BD037B">
      <w:pPr>
        <w:pStyle w:val="ListParagraph"/>
        <w:numPr>
          <w:ilvl w:val="0"/>
          <w:numId w:val="4"/>
        </w:numPr>
        <w:ind w:left="2160"/>
        <w:rPr>
          <w:lang w:val="fr-FR"/>
        </w:rPr>
      </w:pPr>
      <w:r>
        <w:rPr>
          <w:lang w:val="fr-FR"/>
        </w:rPr>
        <w:t>AAAA pour les données annuelles (p. ex. 2013);</w:t>
      </w:r>
    </w:p>
    <w:p w:rsidR="002C7BEF" w:rsidRDefault="00BD037B">
      <w:pPr>
        <w:pStyle w:val="ListParagraph"/>
        <w:numPr>
          <w:ilvl w:val="0"/>
          <w:numId w:val="4"/>
        </w:numPr>
        <w:ind w:left="2160"/>
        <w:rPr>
          <w:lang w:val="fr-FR"/>
        </w:rPr>
      </w:pPr>
      <w:r>
        <w:rPr>
          <w:lang w:val="fr-FR"/>
        </w:rPr>
        <w:t>AAAA-MM pour des données mensuelles (p. ex. 2013-01);</w:t>
      </w:r>
    </w:p>
    <w:p w:rsidR="002C7BEF" w:rsidRDefault="00BD037B">
      <w:pPr>
        <w:pStyle w:val="ListParagraph"/>
        <w:numPr>
          <w:ilvl w:val="0"/>
          <w:numId w:val="4"/>
        </w:numPr>
        <w:ind w:left="2160"/>
        <w:rPr>
          <w:lang w:val="fr-FR"/>
        </w:rPr>
      </w:pPr>
      <w:r>
        <w:rPr>
          <w:lang w:val="fr-FR"/>
        </w:rPr>
        <w:t>AAAA-MM-JJ pour des données quotidiennes (p. ex. 2013-01-01).</w:t>
      </w:r>
    </w:p>
    <w:p w:rsidR="002C7BEF" w:rsidRDefault="002C7BEF">
      <w:pPr>
        <w:ind w:left="720"/>
        <w:rPr>
          <w:lang w:val="fr-FR"/>
        </w:rPr>
      </w:pPr>
    </w:p>
    <w:p w:rsidR="002C7BEF" w:rsidRDefault="00BD037B">
      <w:pPr>
        <w:pStyle w:val="Heading3"/>
        <w:ind w:left="720"/>
        <w:rPr>
          <w:lang w:val="fr-FR"/>
        </w:rPr>
      </w:pPr>
      <w:r>
        <w:rPr>
          <w:lang w:val="fr-FR"/>
        </w:rPr>
        <w:t>Detail</w:t>
      </w:r>
    </w:p>
    <w:p w:rsidR="002C7BEF" w:rsidRDefault="00BD037B">
      <w:pPr>
        <w:ind w:left="1440"/>
        <w:rPr>
          <w:lang w:val="fr-FR"/>
        </w:rPr>
      </w:pPr>
      <w:r>
        <w:rPr>
          <w:lang w:val="fr-FR"/>
        </w:rPr>
        <w:t xml:space="preserve">En utilisant le paramètre </w:t>
      </w:r>
      <w:r>
        <w:rPr>
          <w:color w:val="FF0000"/>
          <w:highlight w:val="lightGray"/>
          <w:lang w:val="fr-FR"/>
        </w:rPr>
        <w:t>detail</w:t>
      </w:r>
      <w:r>
        <w:rPr>
          <w:lang w:val="fr-FR"/>
        </w:rPr>
        <w:t>, vous pouvez préciser la quantité souhaitée de renseignements à retourner par le service Web.</w:t>
      </w:r>
    </w:p>
    <w:p w:rsidR="002C7BEF" w:rsidRDefault="00BD037B">
      <w:pPr>
        <w:ind w:left="1440"/>
      </w:pPr>
      <w:r>
        <w:t>Voici les options possibles :</w:t>
      </w:r>
    </w:p>
    <w:p w:rsidR="002C7BEF" w:rsidRDefault="00BD037B">
      <w:pPr>
        <w:pStyle w:val="ListParagraph"/>
        <w:numPr>
          <w:ilvl w:val="0"/>
          <w:numId w:val="5"/>
        </w:numPr>
        <w:ind w:left="2160"/>
      </w:pPr>
      <w:r>
        <w:rPr>
          <w:color w:val="FF0000"/>
          <w:highlight w:val="lightGray"/>
          <w:lang w:val="fr-FR"/>
        </w:rPr>
        <w:t>full</w:t>
      </w:r>
      <w:r>
        <w:rPr>
          <w:lang w:val="fr-FR"/>
        </w:rPr>
        <w:t xml:space="preserve"> : Les données (série et observations) et les attributs doivent être retournés. </w:t>
      </w:r>
      <w:r>
        <w:t>Il s’agit de la valeur par défaut.</w:t>
      </w:r>
    </w:p>
    <w:p w:rsidR="002C7BEF" w:rsidRDefault="002C7BEF">
      <w:pPr>
        <w:pStyle w:val="ListParagraph"/>
        <w:rPr>
          <w:lang w:val="fr-FR"/>
        </w:rPr>
      </w:pPr>
    </w:p>
    <w:p w:rsidR="002C7BEF" w:rsidRDefault="002C7BEF">
      <w:pPr>
        <w:ind w:left="720"/>
        <w:rPr>
          <w:lang w:val="fr-FR"/>
        </w:rPr>
      </w:pPr>
    </w:p>
    <w:p w:rsidR="002C7BEF" w:rsidRDefault="00BD037B">
      <w:pPr>
        <w:pStyle w:val="Heading3"/>
        <w:ind w:left="720"/>
        <w:rPr>
          <w:lang w:val="fr-FR"/>
        </w:rPr>
      </w:pPr>
      <w:r>
        <w:rPr>
          <w:lang w:val="fr-FR"/>
        </w:rPr>
        <w:t>firstNObservations et lastNObservations</w:t>
      </w:r>
    </w:p>
    <w:p w:rsidR="002C7BEF" w:rsidRDefault="00BD037B">
      <w:pPr>
        <w:ind w:left="1440"/>
        <w:rPr>
          <w:lang w:val="fr-FR"/>
        </w:rPr>
      </w:pPr>
      <w:r>
        <w:rPr>
          <w:lang w:val="fr-FR"/>
        </w:rPr>
        <w:t xml:space="preserve">En utilisant les paramètres </w:t>
      </w:r>
      <w:r>
        <w:rPr>
          <w:color w:val="FF0000"/>
          <w:highlight w:val="lightGray"/>
          <w:lang w:val="fr-FR"/>
        </w:rPr>
        <w:t>firstNObservations</w:t>
      </w:r>
      <w:r>
        <w:rPr>
          <w:color w:val="FF0000"/>
          <w:lang w:val="fr-FR"/>
        </w:rPr>
        <w:t xml:space="preserve"> </w:t>
      </w:r>
      <w:r>
        <w:rPr>
          <w:lang w:val="fr-FR"/>
        </w:rPr>
        <w:t xml:space="preserve">et </w:t>
      </w:r>
      <w:r>
        <w:rPr>
          <w:color w:val="FF0000"/>
          <w:highlight w:val="lightGray"/>
          <w:lang w:val="fr-FR"/>
        </w:rPr>
        <w:t>lastNObservations</w:t>
      </w:r>
      <w:r>
        <w:rPr>
          <w:lang w:val="fr-FR"/>
        </w:rPr>
        <w:t>, vous pouvez préciser le nombre maximal d’observations à retourner pour chacune des séries correspondantes, en commençant par la première observation (firstNObservations) ou à partir de l’observation la plus récente (lastNObservations).</w:t>
      </w:r>
    </w:p>
    <w:p w:rsidR="002C7BEF" w:rsidRDefault="00BD037B">
      <w:pPr>
        <w:pStyle w:val="Heading2"/>
      </w:pPr>
      <w:bookmarkStart w:id="27" w:name="_Toc26177269"/>
      <w:bookmarkStart w:id="28" w:name="_Toc42610410"/>
      <w:r>
        <w:t>Exemples</w:t>
      </w:r>
      <w:bookmarkEnd w:id="27"/>
      <w:bookmarkEnd w:id="28"/>
    </w:p>
    <w:p w:rsidR="002C7BEF" w:rsidRDefault="002C7BEF">
      <w:pPr>
        <w:rPr>
          <w:lang w:val="fr-FR"/>
        </w:rPr>
      </w:pPr>
    </w:p>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BD037B">
            <w:pPr>
              <w:pStyle w:val="ListParagraph"/>
              <w:numPr>
                <w:ilvl w:val="0"/>
                <w:numId w:val="8"/>
              </w:numPr>
              <w:spacing w:after="0" w:line="240" w:lineRule="auto"/>
              <w:rPr>
                <w:lang w:val="fr-FR"/>
              </w:rPr>
            </w:pPr>
            <w:r>
              <w:rPr>
                <w:lang w:val="fr-FR"/>
              </w:rPr>
              <w:t>Récupérer les données des séries 466670 (Canada / Hommes / Tous âges). Le tableau 17100005 est présenté en détail à l'annexe 1.</w:t>
            </w:r>
          </w:p>
          <w:p w:rsidR="002C7BEF" w:rsidRDefault="002C7BEF">
            <w:pPr>
              <w:pStyle w:val="ListParagraph"/>
              <w:spacing w:after="0" w:line="240" w:lineRule="auto"/>
              <w:ind w:left="360"/>
              <w:rPr>
                <w:lang w:val="fr-FR"/>
              </w:rPr>
            </w:pPr>
          </w:p>
        </w:tc>
      </w:tr>
      <w:tr w:rsidR="002C7BEF">
        <w:tc>
          <w:tcPr>
            <w:tcW w:w="9350" w:type="dxa"/>
            <w:shd w:val="clear" w:color="auto" w:fill="D9E2F3" w:themeFill="accent5" w:themeFillTint="33"/>
          </w:tcPr>
          <w:p w:rsidR="002C7BEF" w:rsidRDefault="002C7BEF">
            <w:pPr>
              <w:spacing w:after="0" w:line="240" w:lineRule="auto"/>
              <w:rPr>
                <w:lang w:val="fr-FR"/>
              </w:rPr>
            </w:pPr>
          </w:p>
          <w:p w:rsidR="002C7BEF" w:rsidRDefault="00BD037B">
            <w:pPr>
              <w:spacing w:after="0" w:line="240" w:lineRule="auto"/>
              <w:rPr>
                <w:lang w:val="fr-FR"/>
              </w:rPr>
            </w:pPr>
            <w:r>
              <w:rPr>
                <w:rStyle w:val="Hyperlink"/>
                <w:lang w:val="fr-FR"/>
              </w:rPr>
              <w:t>https://www150.statcan.gc.ca/t1/wds/sdmx/statcan/v1/rest/vector/v466670</w:t>
            </w:r>
          </w:p>
          <w:p w:rsidR="002C7BEF" w:rsidRDefault="002C7BEF">
            <w:pPr>
              <w:spacing w:after="0" w:line="240" w:lineRule="auto"/>
              <w:rPr>
                <w:lang w:val="fr-FR"/>
              </w:rPr>
            </w:pPr>
          </w:p>
        </w:tc>
      </w:tr>
    </w:tbl>
    <w:p w:rsidR="002C7BEF" w:rsidRDefault="002C7BEF">
      <w:pPr>
        <w:rPr>
          <w:lang w:val="fr-FR"/>
        </w:rPr>
      </w:pPr>
    </w:p>
    <w:p w:rsidR="002C7BEF" w:rsidRDefault="00BD037B">
      <w:r>
        <w:t>Résultats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BD037B">
            <w:pPr>
              <w:jc w:val="center"/>
            </w:pPr>
            <w:r>
              <w:object w:dxaOrig="1307" w:dyaOrig="811">
                <v:shape id="ole_rId21" o:spid="_x0000_i1034" style="width:65.25pt;height:40.5pt" coordsize="" o:spt="100" adj="0,,0" path="" stroked="f">
                  <v:stroke joinstyle="miter"/>
                  <v:imagedata r:id="rId15" o:title=""/>
                  <v:formulas/>
                  <v:path o:connecttype="segments"/>
                </v:shape>
                <o:OLEObject Type="Embed" ProgID="Package" ShapeID="ole_rId21" DrawAspect="Content" ObjectID="_1704007539" r:id="rId27"/>
              </w:object>
            </w:r>
          </w:p>
        </w:tc>
      </w:tr>
      <w:tr w:rsidR="002C7BEF">
        <w:tc>
          <w:tcPr>
            <w:tcW w:w="3475" w:type="dxa"/>
          </w:tcPr>
          <w:p w:rsidR="002C7BEF" w:rsidRDefault="00BD037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BD037B">
            <w:pPr>
              <w:jc w:val="center"/>
            </w:pPr>
            <w:r>
              <w:object w:dxaOrig="1247" w:dyaOrig="811">
                <v:shape id="ole_rId23" o:spid="_x0000_i1035" style="width:62.25pt;height:40.5pt" coordsize="" o:spt="100" adj="0,,0" path="" stroked="f">
                  <v:stroke joinstyle="miter"/>
                  <v:imagedata r:id="rId17" o:title=""/>
                  <v:formulas/>
                  <v:path o:connecttype="segments"/>
                </v:shape>
                <o:OLEObject Type="Embed" ProgID="Package" ShapeID="ole_rId23" DrawAspect="Content" ObjectID="_1704007540" r:id="rId28"/>
              </w:object>
            </w:r>
          </w:p>
        </w:tc>
      </w:tr>
      <w:tr w:rsidR="002C7BEF">
        <w:tc>
          <w:tcPr>
            <w:tcW w:w="3475" w:type="dxa"/>
          </w:tcPr>
          <w:p w:rsidR="002C7BEF" w:rsidRDefault="00BD037B">
            <w:pPr>
              <w:tabs>
                <w:tab w:val="center" w:pos="1061"/>
              </w:tabs>
              <w:jc w:val="center"/>
              <w:rPr>
                <w:b/>
                <w:sz w:val="24"/>
                <w:szCs w:val="24"/>
              </w:rPr>
            </w:pPr>
            <w:r>
              <w:rPr>
                <w:b/>
                <w:sz w:val="24"/>
                <w:szCs w:val="24"/>
              </w:rPr>
              <w:t>SDMX-JSON</w:t>
            </w:r>
          </w:p>
        </w:tc>
        <w:tc>
          <w:tcPr>
            <w:tcW w:w="5029" w:type="dxa"/>
          </w:tcPr>
          <w:p w:rsidR="002C7BEF" w:rsidRDefault="00BD037B">
            <w:pPr>
              <w:jc w:val="center"/>
            </w:pPr>
            <w:r>
              <w:object w:dxaOrig="1397" w:dyaOrig="811">
                <v:shape id="ole_rId25" o:spid="_x0000_i1036" style="width:69.75pt;height:40.5pt" coordsize="" o:spt="100" adj="0,,0" path="" stroked="f">
                  <v:stroke joinstyle="miter"/>
                  <v:imagedata r:id="rId19" o:title=""/>
                  <v:formulas/>
                  <v:path o:connecttype="segments"/>
                </v:shape>
                <o:OLEObject Type="Embed" ProgID="Package" ShapeID="ole_rId25" DrawAspect="Content" ObjectID="_1704007541" r:id="rId29"/>
              </w:object>
            </w:r>
          </w:p>
        </w:tc>
      </w:tr>
    </w:tbl>
    <w:p w:rsidR="002C7BEF" w:rsidRDefault="002C7BEF"/>
    <w:p w:rsidR="002C7BEF" w:rsidRDefault="002C7BEF"/>
    <w:p w:rsidR="002C7BEF" w:rsidRDefault="002C7BEF"/>
    <w:p w:rsidR="002C7BEF" w:rsidRDefault="002C7BEF">
      <w:pPr>
        <w:pStyle w:val="Heading1"/>
        <w:rPr>
          <w:lang w:val="fr-FR"/>
        </w:rPr>
      </w:pPr>
    </w:p>
    <w:p w:rsidR="002C7BEF" w:rsidRDefault="00BD037B">
      <w:pPr>
        <w:pStyle w:val="Heading1"/>
        <w:rPr>
          <w:lang w:val="fr-FR"/>
        </w:rPr>
      </w:pPr>
      <w:bookmarkStart w:id="29" w:name="_Toc42610411"/>
      <w:r>
        <w:rPr>
          <w:lang w:val="fr-FR"/>
        </w:rPr>
        <w:t xml:space="preserve">Service Web de </w:t>
      </w:r>
      <w:hyperlink w:anchor="_Toc26177270">
        <w:r>
          <w:rPr>
            <w:rStyle w:val="IndexLink"/>
            <w:lang w:val="fr-FR"/>
          </w:rPr>
          <w:t>métadonnées</w:t>
        </w:r>
      </w:hyperlink>
      <w:r>
        <w:rPr>
          <w:lang w:val="fr-FR"/>
        </w:rPr>
        <w:t xml:space="preserve"> SDMX (structure)</w:t>
      </w:r>
      <w:bookmarkEnd w:id="29"/>
    </w:p>
    <w:p w:rsidR="002C7BEF" w:rsidRDefault="002C7BEF">
      <w:pPr>
        <w:rPr>
          <w:lang w:val="fr-FR"/>
        </w:rPr>
      </w:pPr>
    </w:p>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BD037B">
            <w:pPr>
              <w:pStyle w:val="ListParagraph"/>
              <w:numPr>
                <w:ilvl w:val="0"/>
                <w:numId w:val="8"/>
              </w:numPr>
              <w:spacing w:after="0" w:line="240" w:lineRule="auto"/>
              <w:rPr>
                <w:lang w:val="fr-FR"/>
              </w:rPr>
            </w:pPr>
            <w:r>
              <w:rPr>
                <w:lang w:val="fr-FR"/>
              </w:rPr>
              <w:t>Récupérer la dernière version en production du DSD avec la structure de données id 17100005. Le tableau 17100005 est présenté en détail à l'annexe 1.</w:t>
            </w:r>
          </w:p>
          <w:p w:rsidR="002C7BEF" w:rsidRDefault="002C7BEF">
            <w:pPr>
              <w:spacing w:after="0" w:line="240" w:lineRule="auto"/>
              <w:rPr>
                <w:lang w:val="fr-FR"/>
              </w:rPr>
            </w:pPr>
          </w:p>
        </w:tc>
      </w:tr>
      <w:tr w:rsidR="002C7BEF">
        <w:tc>
          <w:tcPr>
            <w:tcW w:w="9350" w:type="dxa"/>
            <w:shd w:val="clear" w:color="auto" w:fill="D9E2F3" w:themeFill="accent5" w:themeFillTint="33"/>
          </w:tcPr>
          <w:p w:rsidR="002C7BEF" w:rsidRDefault="002C7BEF">
            <w:pPr>
              <w:spacing w:after="0" w:line="240" w:lineRule="auto"/>
              <w:rPr>
                <w:lang w:val="fr-FR"/>
              </w:rPr>
            </w:pPr>
          </w:p>
          <w:p w:rsidR="002C7BEF" w:rsidRDefault="00BD037B">
            <w:pPr>
              <w:spacing w:after="0" w:line="240" w:lineRule="auto"/>
            </w:pPr>
            <w:r>
              <w:rPr>
                <w:rStyle w:val="Hyperlink"/>
              </w:rPr>
              <w:t>https://www150.statcan.gc.ca/t1/wds/sdmx/statcan/v1/rest/structure/Data_Structure_17100005</w:t>
            </w:r>
          </w:p>
          <w:p w:rsidR="002C7BEF" w:rsidRDefault="002C7BEF">
            <w:pPr>
              <w:spacing w:after="0" w:line="240" w:lineRule="auto"/>
              <w:rPr>
                <w:rStyle w:val="Hyperlink"/>
              </w:rPr>
            </w:pPr>
          </w:p>
        </w:tc>
      </w:tr>
    </w:tbl>
    <w:p w:rsidR="002C7BEF" w:rsidRDefault="002C7BEF"/>
    <w:p w:rsidR="002C7BEF" w:rsidRDefault="00BD037B">
      <w:r>
        <w:t>Résultats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BD037B">
            <w:pPr>
              <w:tabs>
                <w:tab w:val="left" w:pos="440"/>
                <w:tab w:val="center" w:pos="1594"/>
              </w:tabs>
              <w:jc w:val="center"/>
              <w:rPr>
                <w:rFonts w:cstheme="minorHAnsi"/>
                <w:b/>
                <w:sz w:val="24"/>
                <w:szCs w:val="24"/>
                <w:lang w:val="fr-FR"/>
              </w:rPr>
            </w:pPr>
            <w:r>
              <w:rPr>
                <w:rFonts w:cstheme="minorHAnsi"/>
                <w:b/>
                <w:color w:val="555555"/>
                <w:sz w:val="24"/>
                <w:szCs w:val="24"/>
                <w:lang w:val="fr-FR"/>
              </w:rPr>
              <w:t>SDMX-ML Structure format</w:t>
            </w:r>
          </w:p>
        </w:tc>
        <w:tc>
          <w:tcPr>
            <w:tcW w:w="5029" w:type="dxa"/>
          </w:tcPr>
          <w:p w:rsidR="002C7BEF" w:rsidRDefault="00BD037B">
            <w:pPr>
              <w:spacing w:after="0" w:line="240" w:lineRule="auto"/>
              <w:jc w:val="center"/>
            </w:pPr>
            <w:r>
              <w:object w:dxaOrig="947" w:dyaOrig="811">
                <v:shape id="ole_rId27" o:spid="_x0000_i1037" style="width:47.25pt;height:40.5pt" coordsize="" o:spt="100" adj="0,,0" path="" stroked="f">
                  <v:stroke joinstyle="miter"/>
                  <v:imagedata r:id="rId30" o:title=""/>
                  <v:formulas/>
                  <v:path o:connecttype="segments"/>
                </v:shape>
                <o:OLEObject Type="Embed" ProgID="Package" ShapeID="ole_rId27" DrawAspect="Content" ObjectID="_1704007542" r:id="rId31"/>
              </w:object>
            </w:r>
          </w:p>
        </w:tc>
      </w:tr>
    </w:tbl>
    <w:p w:rsidR="002C7BEF" w:rsidRDefault="002C7BEF">
      <w:pPr>
        <w:rPr>
          <w:rFonts w:ascii="Helvetica" w:eastAsia="Times New Roman" w:hAnsi="Helvetica" w:cs="Helvetica"/>
          <w:color w:val="555555"/>
          <w:sz w:val="21"/>
          <w:szCs w:val="21"/>
          <w:lang w:eastAsia="en-CA"/>
        </w:rPr>
      </w:pPr>
    </w:p>
    <w:p w:rsidR="002C7BEF" w:rsidRDefault="00BD037B">
      <w:pPr>
        <w:pStyle w:val="Heading1"/>
        <w:rPr>
          <w:lang w:val="fr-FR"/>
        </w:rPr>
      </w:pPr>
      <w:bookmarkStart w:id="30" w:name="_Toc26177273"/>
      <w:bookmarkStart w:id="31" w:name="_Toc25835523"/>
      <w:bookmarkStart w:id="32" w:name="_Toc42610412"/>
      <w:r>
        <w:rPr>
          <w:lang w:val="fr-FR"/>
        </w:rPr>
        <w:t>Négociation de contenu</w:t>
      </w:r>
      <w:bookmarkEnd w:id="30"/>
      <w:bookmarkEnd w:id="31"/>
      <w:bookmarkEnd w:id="32"/>
    </w:p>
    <w:p w:rsidR="002C7BEF" w:rsidRDefault="002C7BEF">
      <w:pPr>
        <w:keepNext/>
        <w:rPr>
          <w:lang w:val="fr-FR"/>
        </w:rPr>
      </w:pPr>
    </w:p>
    <w:p w:rsidR="002C7BEF" w:rsidRDefault="00BD037B">
      <w:pPr>
        <w:rPr>
          <w:lang w:val="fr-FR"/>
        </w:rPr>
      </w:pPr>
      <w:r>
        <w:rPr>
          <w:lang w:val="fr-FR"/>
        </w:rPr>
        <w:t>À l’aide du mécanisme de négociation de contenu HTTP, vous pouvez sélectionner la représentation de données à retourner et vous pouvez également indiquer au service de comprimer les données à retourner.</w:t>
      </w:r>
    </w:p>
    <w:p w:rsidR="002C7BEF" w:rsidRDefault="00BD037B">
      <w:pPr>
        <w:pStyle w:val="Heading2"/>
        <w:rPr>
          <w:lang w:val="fr-FR"/>
        </w:rPr>
      </w:pPr>
      <w:bookmarkStart w:id="33" w:name="_Toc26177274"/>
      <w:bookmarkStart w:id="34" w:name="_Toc25835524"/>
      <w:bookmarkStart w:id="35" w:name="_Toc42610413"/>
      <w:r>
        <w:rPr>
          <w:lang w:val="fr-FR"/>
        </w:rPr>
        <w:t>Sélection du format</w:t>
      </w:r>
      <w:bookmarkEnd w:id="33"/>
      <w:bookmarkEnd w:id="34"/>
      <w:bookmarkEnd w:id="35"/>
    </w:p>
    <w:p w:rsidR="002C7BEF" w:rsidRDefault="00BD037B">
      <w:pPr>
        <w:pStyle w:val="list-group-item-text"/>
        <w:keepNext/>
        <w:shd w:val="clear" w:color="auto" w:fill="FFFFFF"/>
        <w:spacing w:beforeAutospacing="0" w:after="0" w:afterAutospacing="0"/>
        <w:rPr>
          <w:rFonts w:ascii="Helvetica" w:hAnsi="Helvetica" w:cs="Helvetica"/>
          <w:color w:val="555555"/>
          <w:sz w:val="21"/>
          <w:szCs w:val="21"/>
          <w:lang w:val="fr-FR"/>
        </w:rPr>
      </w:pPr>
      <w:r>
        <w:rPr>
          <w:rFonts w:ascii="Helvetica" w:hAnsi="Helvetica"/>
          <w:color w:val="555555"/>
          <w:sz w:val="21"/>
          <w:szCs w:val="21"/>
          <w:lang w:val="fr-FR"/>
        </w:rPr>
        <w:t>Les formats de données suivants sont pris en charge par le service Web :</w:t>
      </w:r>
    </w:p>
    <w:p w:rsidR="002C7BEF" w:rsidRDefault="00BD037B">
      <w:pPr>
        <w:numPr>
          <w:ilvl w:val="0"/>
          <w:numId w:val="7"/>
        </w:numPr>
        <w:shd w:val="clear" w:color="auto" w:fill="FFFFFF"/>
        <w:spacing w:beforeAutospacing="1" w:after="0" w:line="240" w:lineRule="auto"/>
        <w:rPr>
          <w:rFonts w:ascii="Helvetica" w:hAnsi="Helvetica" w:cs="Helvetica"/>
          <w:color w:val="555555"/>
          <w:sz w:val="21"/>
          <w:szCs w:val="21"/>
        </w:rPr>
      </w:pPr>
      <w:r>
        <w:rPr>
          <w:rFonts w:ascii="Helvetica" w:hAnsi="Helvetica"/>
          <w:color w:val="555555"/>
          <w:sz w:val="21"/>
          <w:szCs w:val="21"/>
        </w:rPr>
        <w:t>Formats de données :</w:t>
      </w:r>
    </w:p>
    <w:p w:rsidR="002C7BEF" w:rsidRDefault="00BD037B">
      <w:pPr>
        <w:numPr>
          <w:ilvl w:val="1"/>
          <w:numId w:val="7"/>
        </w:numPr>
        <w:shd w:val="clear" w:color="auto" w:fill="FFFFFF"/>
        <w:spacing w:after="0" w:line="240" w:lineRule="auto"/>
        <w:rPr>
          <w:rFonts w:ascii="Helvetica" w:hAnsi="Helvetica" w:cs="Helvetica"/>
          <w:color w:val="555555"/>
          <w:sz w:val="21"/>
          <w:szCs w:val="21"/>
          <w:lang w:val="fr-FR"/>
        </w:rPr>
      </w:pPr>
      <w:r>
        <w:rPr>
          <w:rFonts w:ascii="Helvetica" w:hAnsi="Helvetica"/>
          <w:color w:val="555555"/>
          <w:sz w:val="21"/>
          <w:szCs w:val="21"/>
          <w:lang w:val="fr-FR"/>
        </w:rPr>
        <w:t xml:space="preserve">SDMX-ML 2.1 Format de données génériques : </w:t>
      </w:r>
      <w:r>
        <w:rPr>
          <w:rStyle w:val="HTMLCode"/>
          <w:rFonts w:ascii="Consolas" w:eastAsiaTheme="minorHAnsi" w:hAnsi="Consolas"/>
          <w:color w:val="C7254E"/>
          <w:sz w:val="19"/>
          <w:szCs w:val="19"/>
          <w:shd w:val="clear" w:color="auto" w:fill="F9F2F4"/>
          <w:lang w:val="fr-FR"/>
        </w:rPr>
        <w:t>application/vnd.sdmx.genericdata+xml;version=2.1</w:t>
      </w:r>
      <w:r>
        <w:rPr>
          <w:rFonts w:ascii="Helvetica" w:hAnsi="Helvetica"/>
          <w:color w:val="555555"/>
          <w:sz w:val="21"/>
          <w:szCs w:val="21"/>
          <w:lang w:val="fr-FR"/>
        </w:rPr>
        <w:t>. Il s’agit de la valeur par défaut pour les requêtes de données.</w:t>
      </w:r>
    </w:p>
    <w:p w:rsidR="002C7BEF" w:rsidRDefault="00BD037B">
      <w:pPr>
        <w:numPr>
          <w:ilvl w:val="1"/>
          <w:numId w:val="7"/>
        </w:numPr>
        <w:shd w:val="clear" w:color="auto" w:fill="FFFFFF"/>
        <w:spacing w:after="0" w:line="240" w:lineRule="auto"/>
        <w:rPr>
          <w:rFonts w:ascii="Helvetica" w:hAnsi="Helvetica" w:cs="Helvetica"/>
          <w:color w:val="555555"/>
          <w:sz w:val="21"/>
          <w:szCs w:val="21"/>
          <w:lang w:val="fr-FR"/>
        </w:rPr>
      </w:pPr>
      <w:r>
        <w:rPr>
          <w:rFonts w:ascii="Helvetica" w:hAnsi="Helvetica"/>
          <w:color w:val="555555"/>
          <w:sz w:val="21"/>
          <w:szCs w:val="21"/>
          <w:lang w:val="fr-FR"/>
        </w:rPr>
        <w:t>SDMX-ML 2.1 Données particulières à une structure :</w:t>
      </w:r>
      <w:r>
        <w:rPr>
          <w:rStyle w:val="HTMLCode"/>
          <w:rFonts w:ascii="Consolas" w:eastAsiaTheme="minorHAnsi" w:hAnsi="Consolas"/>
          <w:color w:val="C7254E"/>
          <w:sz w:val="19"/>
          <w:szCs w:val="19"/>
          <w:shd w:val="clear" w:color="auto" w:fill="F9F2F4"/>
          <w:lang w:val="fr-FR"/>
        </w:rPr>
        <w:t xml:space="preserve"> application/vnd.sdmx.structurespecificdata+xml;version=2.1</w:t>
      </w:r>
    </w:p>
    <w:p w:rsidR="002C7BEF" w:rsidRDefault="00206198">
      <w:pPr>
        <w:numPr>
          <w:ilvl w:val="1"/>
          <w:numId w:val="7"/>
        </w:numPr>
        <w:shd w:val="clear" w:color="auto" w:fill="FFFFFF"/>
        <w:spacing w:after="0" w:line="240" w:lineRule="auto"/>
        <w:rPr>
          <w:rFonts w:ascii="Helvetica" w:hAnsi="Helvetica" w:cs="Helvetica"/>
          <w:color w:val="555555"/>
          <w:sz w:val="21"/>
          <w:szCs w:val="21"/>
          <w:lang w:val="fr-FR"/>
        </w:rPr>
      </w:pPr>
      <w:hyperlink r:id="rId32">
        <w:r w:rsidR="00BD037B">
          <w:rPr>
            <w:rStyle w:val="Hyperlink"/>
            <w:rFonts w:ascii="Helvetica" w:hAnsi="Helvetica"/>
            <w:color w:val="2FA4E7"/>
            <w:sz w:val="21"/>
            <w:szCs w:val="21"/>
            <w:lang w:val="fr-FR"/>
          </w:rPr>
          <w:t>SDMX-JSON</w:t>
        </w:r>
      </w:hyperlink>
      <w:r w:rsidR="00BD037B">
        <w:rPr>
          <w:rFonts w:ascii="Helvetica" w:hAnsi="Helvetica"/>
          <w:color w:val="555555"/>
          <w:sz w:val="21"/>
          <w:szCs w:val="21"/>
          <w:lang w:val="fr-FR"/>
        </w:rPr>
        <w:t xml:space="preserve"> (en anglais seulement) : </w:t>
      </w:r>
      <w:r w:rsidR="00BD037B">
        <w:rPr>
          <w:rStyle w:val="HTMLCode"/>
          <w:rFonts w:ascii="Consolas" w:eastAsiaTheme="minorHAnsi" w:hAnsi="Consolas"/>
          <w:color w:val="C7254E"/>
          <w:sz w:val="19"/>
          <w:szCs w:val="19"/>
          <w:shd w:val="clear" w:color="auto" w:fill="F9F2F4"/>
          <w:lang w:val="fr-FR"/>
        </w:rPr>
        <w:t>application/vnd.sdmx.data+json;version=1.0.0-wd</w:t>
      </w:r>
    </w:p>
    <w:p w:rsidR="002C7BEF" w:rsidRDefault="00BD037B">
      <w:pPr>
        <w:numPr>
          <w:ilvl w:val="1"/>
          <w:numId w:val="7"/>
        </w:numPr>
        <w:shd w:val="clear" w:color="auto" w:fill="FFFFFF"/>
        <w:spacing w:after="0" w:line="240" w:lineRule="auto"/>
        <w:rPr>
          <w:rFonts w:ascii="Helvetica" w:hAnsi="Helvetica" w:cs="Helvetica"/>
          <w:color w:val="555555"/>
          <w:sz w:val="21"/>
          <w:szCs w:val="21"/>
        </w:rPr>
      </w:pPr>
      <w:r>
        <w:rPr>
          <w:rFonts w:ascii="Helvetica" w:hAnsi="Helvetica"/>
          <w:color w:val="555555"/>
          <w:sz w:val="21"/>
          <w:szCs w:val="21"/>
        </w:rPr>
        <w:t xml:space="preserve">CSV : </w:t>
      </w:r>
      <w:r>
        <w:rPr>
          <w:rStyle w:val="HTMLCode"/>
          <w:rFonts w:ascii="Consolas" w:eastAsiaTheme="minorHAnsi" w:hAnsi="Consolas"/>
          <w:color w:val="C7254E"/>
          <w:sz w:val="19"/>
          <w:szCs w:val="19"/>
          <w:shd w:val="clear" w:color="auto" w:fill="F9F2F4"/>
        </w:rPr>
        <w:t>text/csv</w:t>
      </w:r>
    </w:p>
    <w:p w:rsidR="002C7BEF" w:rsidRDefault="00BD037B">
      <w:pPr>
        <w:numPr>
          <w:ilvl w:val="0"/>
          <w:numId w:val="7"/>
        </w:numPr>
        <w:shd w:val="clear" w:color="auto" w:fill="FFFFFF"/>
        <w:spacing w:before="120" w:after="0" w:line="240" w:lineRule="auto"/>
        <w:rPr>
          <w:rFonts w:ascii="Helvetica" w:hAnsi="Helvetica" w:cs="Helvetica"/>
          <w:color w:val="555555"/>
          <w:sz w:val="21"/>
          <w:szCs w:val="21"/>
        </w:rPr>
      </w:pPr>
      <w:r>
        <w:rPr>
          <w:rFonts w:ascii="Helvetica" w:hAnsi="Helvetica"/>
          <w:color w:val="555555"/>
          <w:sz w:val="21"/>
          <w:szCs w:val="21"/>
        </w:rPr>
        <w:t>Formats de métadonnées :</w:t>
      </w:r>
    </w:p>
    <w:p w:rsidR="002C7BEF" w:rsidRDefault="00BD037B">
      <w:pPr>
        <w:numPr>
          <w:ilvl w:val="1"/>
          <w:numId w:val="7"/>
        </w:numPr>
        <w:shd w:val="clear" w:color="auto" w:fill="FFFFFF"/>
        <w:spacing w:afterAutospacing="1" w:line="240" w:lineRule="auto"/>
        <w:rPr>
          <w:rFonts w:ascii="Helvetica" w:hAnsi="Helvetica" w:cs="Helvetica"/>
          <w:color w:val="555555"/>
          <w:sz w:val="21"/>
          <w:szCs w:val="21"/>
          <w:lang w:val="fr-FR"/>
        </w:rPr>
      </w:pPr>
      <w:r>
        <w:rPr>
          <w:rFonts w:ascii="Helvetica" w:hAnsi="Helvetica"/>
          <w:color w:val="555555"/>
          <w:sz w:val="21"/>
          <w:szCs w:val="21"/>
          <w:lang w:val="fr-FR"/>
        </w:rPr>
        <w:t xml:space="preserve">SDMX-ML Format de la structure : </w:t>
      </w:r>
      <w:r>
        <w:rPr>
          <w:rStyle w:val="HTMLCode"/>
          <w:rFonts w:ascii="Consolas" w:eastAsiaTheme="minorHAnsi" w:hAnsi="Consolas"/>
          <w:color w:val="C7254E"/>
          <w:sz w:val="19"/>
          <w:szCs w:val="19"/>
          <w:shd w:val="clear" w:color="auto" w:fill="F9F2F4"/>
          <w:lang w:val="fr-FR"/>
        </w:rPr>
        <w:t>application/vnd.sdmx.structure+xml;version=2.1</w:t>
      </w:r>
    </w:p>
    <w:p w:rsidR="002C7BEF" w:rsidRDefault="00BD037B">
      <w:pPr>
        <w:pStyle w:val="NormalWeb"/>
        <w:shd w:val="clear" w:color="auto" w:fill="FFFFFF"/>
        <w:spacing w:beforeAutospacing="0" w:after="150" w:afterAutospacing="0"/>
        <w:rPr>
          <w:rFonts w:ascii="Helvetica" w:hAnsi="Helvetica" w:cs="Helvetica"/>
          <w:color w:val="555555"/>
          <w:sz w:val="21"/>
          <w:szCs w:val="21"/>
          <w:lang w:val="fr-FR"/>
        </w:rPr>
      </w:pPr>
      <w:r>
        <w:rPr>
          <w:rFonts w:ascii="Helvetica" w:hAnsi="Helvetica"/>
          <w:color w:val="555555"/>
          <w:sz w:val="21"/>
          <w:szCs w:val="21"/>
          <w:lang w:val="fr-FR"/>
        </w:rPr>
        <w:t xml:space="preserve">Pour obtenir de plus amples renseignements sur les divers formats SDMX-ML, veuillez vous reporter à la </w:t>
      </w:r>
      <w:hyperlink r:id="rId33">
        <w:r>
          <w:rPr>
            <w:rStyle w:val="Hyperlink"/>
            <w:rFonts w:ascii="Helvetica" w:hAnsi="Helvetica"/>
            <w:color w:val="2FA4E7"/>
            <w:sz w:val="21"/>
            <w:szCs w:val="21"/>
            <w:lang w:val="fr-FR"/>
          </w:rPr>
          <w:t>documentation sur le format SDMX</w:t>
        </w:r>
      </w:hyperlink>
      <w:r>
        <w:rPr>
          <w:rStyle w:val="Hyperlink"/>
          <w:rFonts w:ascii="Helvetica" w:hAnsi="Helvetica"/>
          <w:color w:val="2FA4E7"/>
          <w:sz w:val="21"/>
          <w:szCs w:val="21"/>
          <w:lang w:val="fr-FR"/>
        </w:rPr>
        <w:t xml:space="preserve"> (en anglais seulement)</w:t>
      </w:r>
      <w:r>
        <w:rPr>
          <w:rFonts w:ascii="Helvetica" w:hAnsi="Helvetica"/>
          <w:color w:val="555555"/>
          <w:sz w:val="21"/>
          <w:szCs w:val="21"/>
          <w:lang w:val="fr-FR"/>
        </w:rPr>
        <w:t>.</w:t>
      </w:r>
    </w:p>
    <w:p w:rsidR="002C7BEF" w:rsidRDefault="00BD037B">
      <w:pPr>
        <w:pStyle w:val="NormalWeb"/>
        <w:shd w:val="clear" w:color="auto" w:fill="FFFFFF"/>
        <w:spacing w:beforeAutospacing="0" w:after="150" w:afterAutospacing="0"/>
        <w:rPr>
          <w:rFonts w:ascii="Helvetica" w:hAnsi="Helvetica" w:cs="Helvetica"/>
          <w:color w:val="555555"/>
          <w:sz w:val="21"/>
          <w:szCs w:val="21"/>
          <w:lang w:val="fr-FR"/>
        </w:rPr>
      </w:pPr>
      <w:r>
        <w:rPr>
          <w:rFonts w:ascii="Helvetica" w:hAnsi="Helvetica"/>
          <w:color w:val="555555"/>
          <w:sz w:val="21"/>
          <w:szCs w:val="21"/>
          <w:lang w:val="fr-FR"/>
        </w:rPr>
        <w:t>Les types MIME génériques (</w:t>
      </w:r>
      <w:r>
        <w:rPr>
          <w:rStyle w:val="HTMLCode"/>
          <w:rFonts w:ascii="Consolas" w:hAnsi="Consolas"/>
          <w:color w:val="C7254E"/>
          <w:sz w:val="19"/>
          <w:szCs w:val="19"/>
          <w:shd w:val="clear" w:color="auto" w:fill="F9F2F4"/>
          <w:lang w:val="fr-FR"/>
        </w:rPr>
        <w:t>application/json</w:t>
      </w:r>
      <w:r>
        <w:rPr>
          <w:rFonts w:ascii="Helvetica" w:hAnsi="Helvetica"/>
          <w:color w:val="555555"/>
          <w:sz w:val="21"/>
          <w:szCs w:val="21"/>
          <w:lang w:val="fr-FR"/>
        </w:rPr>
        <w:t>, </w:t>
      </w:r>
      <w:r>
        <w:rPr>
          <w:rStyle w:val="HTMLCode"/>
          <w:rFonts w:ascii="Consolas" w:hAnsi="Consolas"/>
          <w:color w:val="C7254E"/>
          <w:sz w:val="19"/>
          <w:szCs w:val="19"/>
          <w:shd w:val="clear" w:color="auto" w:fill="F9F2F4"/>
          <w:lang w:val="fr-FR"/>
        </w:rPr>
        <w:t>application/xml</w:t>
      </w:r>
      <w:r>
        <w:rPr>
          <w:rFonts w:ascii="Helvetica" w:hAnsi="Helvetica"/>
          <w:color w:val="555555"/>
          <w:sz w:val="21"/>
          <w:szCs w:val="21"/>
          <w:lang w:val="fr-FR"/>
        </w:rPr>
        <w:t>) sont également pris en charge, mais ils indiqueront toujours la plus récente version des formats SDMX pris en charge par ces services Web. Cette version changera dans le futur, chaque fois que de nouvelles versions des divers formats SDMX seront disponibles.</w:t>
      </w:r>
    </w:p>
    <w:p w:rsidR="002C7BEF" w:rsidRDefault="002C7BEF">
      <w:pPr>
        <w:rPr>
          <w:lang w:val="fr-FR"/>
        </w:rPr>
      </w:pPr>
    </w:p>
    <w:p w:rsidR="002C7BEF" w:rsidRDefault="00BD037B">
      <w:pPr>
        <w:rPr>
          <w:color w:val="000000" w:themeColor="text1"/>
          <w:lang w:val="fr-FR"/>
        </w:rPr>
      </w:pPr>
      <w:r>
        <w:rPr>
          <w:rFonts w:ascii="Helvetica" w:hAnsi="Helvetica"/>
          <w:color w:val="000000" w:themeColor="text1"/>
          <w:sz w:val="21"/>
          <w:szCs w:val="21"/>
          <w:shd w:val="clear" w:color="auto" w:fill="F2DEDE"/>
          <w:lang w:val="fr-FR"/>
        </w:rPr>
        <w:t>Par conséquent, il est</w:t>
      </w:r>
      <w:r>
        <w:rPr>
          <w:rStyle w:val="Strong"/>
          <w:rFonts w:ascii="Helvetica" w:hAnsi="Helvetica"/>
          <w:color w:val="000000" w:themeColor="text1"/>
          <w:sz w:val="21"/>
          <w:szCs w:val="21"/>
          <w:lang w:val="fr-FR"/>
        </w:rPr>
        <w:t xml:space="preserve"> fortement</w:t>
      </w:r>
      <w:r>
        <w:rPr>
          <w:rFonts w:ascii="Helvetica" w:hAnsi="Helvetica"/>
          <w:color w:val="000000" w:themeColor="text1"/>
          <w:sz w:val="21"/>
          <w:szCs w:val="21"/>
          <w:shd w:val="clear" w:color="auto" w:fill="F2DEDE"/>
          <w:lang w:val="fr-FR"/>
        </w:rPr>
        <w:t xml:space="preserve"> recommandé que les responsables de la mise en œuvre utilisent l’un des types MIME particuliers susmentionnés, plutôt qu’un type MIME générique, pour éviter tout problème avec de nouvelles versions de formats.</w:t>
      </w:r>
    </w:p>
    <w:p w:rsidR="002C7BEF" w:rsidRDefault="002C7BEF">
      <w:pPr>
        <w:rPr>
          <w:lang w:val="fr-FR"/>
        </w:rPr>
      </w:pPr>
    </w:p>
    <w:p w:rsidR="002C7BEF" w:rsidRDefault="00BD037B">
      <w:pPr>
        <w:pStyle w:val="Heading2"/>
        <w:rPr>
          <w:lang w:val="fr-FR"/>
        </w:rPr>
      </w:pPr>
      <w:bookmarkStart w:id="36" w:name="_Toc26177275"/>
      <w:bookmarkStart w:id="37" w:name="_Toc25835525"/>
      <w:bookmarkStart w:id="38" w:name="_Toc42610414"/>
      <w:r>
        <w:rPr>
          <w:lang w:val="fr-FR"/>
        </w:rPr>
        <w:t>Compression des résultats</w:t>
      </w:r>
      <w:bookmarkEnd w:id="36"/>
      <w:bookmarkEnd w:id="37"/>
      <w:bookmarkEnd w:id="38"/>
    </w:p>
    <w:p w:rsidR="002C7BEF" w:rsidRDefault="00BD037B">
      <w:pPr>
        <w:rPr>
          <w:lang w:val="fr-FR"/>
        </w:rPr>
      </w:pPr>
      <w:r>
        <w:rPr>
          <w:rFonts w:ascii="Helvetica" w:hAnsi="Helvetica"/>
          <w:color w:val="555555"/>
          <w:sz w:val="21"/>
          <w:szCs w:val="21"/>
          <w:shd w:val="clear" w:color="auto" w:fill="FFFFFF"/>
          <w:lang w:val="fr-FR"/>
        </w:rPr>
        <w:t>Vous pouvez également activer la compression des données en utilisant le champ</w:t>
      </w:r>
      <w:r>
        <w:rPr>
          <w:lang w:val="fr-FR"/>
        </w:rPr>
        <w:t xml:space="preserve"> Accept-Encoding HTTP header</w:t>
      </w:r>
      <w:r>
        <w:rPr>
          <w:rFonts w:ascii="Helvetica" w:hAnsi="Helvetica"/>
          <w:color w:val="555555"/>
          <w:sz w:val="21"/>
          <w:szCs w:val="21"/>
          <w:shd w:val="clear" w:color="auto" w:fill="FFFFFF"/>
          <w:lang w:val="fr-FR"/>
        </w:rPr>
        <w:t>. Les messages comprimés sont généralement considérablement plus petits que les messages non comprimés, ce qui peut mener à des améliorations au moment du transfert de grandes quantités de données sur le réseau.</w:t>
      </w:r>
    </w:p>
    <w:p w:rsidR="002C7BEF" w:rsidRDefault="002C7BEF">
      <w:pPr>
        <w:rPr>
          <w:lang w:val="fr-FR"/>
        </w:rPr>
      </w:pPr>
    </w:p>
    <w:p w:rsidR="002C7BEF" w:rsidRDefault="00BD037B">
      <w:pPr>
        <w:pStyle w:val="Heading1"/>
        <w:rPr>
          <w:lang w:val="fr-FR"/>
        </w:rPr>
      </w:pPr>
      <w:bookmarkStart w:id="39" w:name="_Toc26177276"/>
      <w:bookmarkStart w:id="40" w:name="_Toc25835526"/>
      <w:bookmarkStart w:id="41" w:name="_Toc42610415"/>
      <w:r>
        <w:rPr>
          <w:lang w:val="fr-FR"/>
        </w:rPr>
        <w:t>Codes d’état</w:t>
      </w:r>
      <w:bookmarkEnd w:id="39"/>
      <w:bookmarkEnd w:id="40"/>
      <w:bookmarkEnd w:id="41"/>
    </w:p>
    <w:p w:rsidR="002C7BEF" w:rsidRDefault="00BD037B">
      <w:pPr>
        <w:shd w:val="clear" w:color="auto" w:fill="FFFFFF"/>
        <w:spacing w:after="15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 xml:space="preserve">Le service Web retourne les </w:t>
      </w:r>
      <w:hyperlink r:id="rId34">
        <w:r>
          <w:rPr>
            <w:rFonts w:ascii="Helvetica" w:hAnsi="Helvetica"/>
            <w:color w:val="2FA4E7"/>
            <w:sz w:val="21"/>
            <w:szCs w:val="21"/>
            <w:lang w:val="fr-FR"/>
          </w:rPr>
          <w:t>codes d’état HTTP</w:t>
        </w:r>
      </w:hyperlink>
      <w:r>
        <w:rPr>
          <w:rFonts w:ascii="Helvetica" w:hAnsi="Helvetica"/>
          <w:color w:val="555555"/>
          <w:sz w:val="21"/>
          <w:szCs w:val="21"/>
          <w:lang w:val="fr-FR"/>
        </w:rPr>
        <w:t xml:space="preserve"> suivants :</w:t>
      </w:r>
    </w:p>
    <w:tbl>
      <w:tblPr>
        <w:tblW w:w="9565" w:type="dxa"/>
        <w:tblCellMar>
          <w:top w:w="75" w:type="dxa"/>
          <w:left w:w="75" w:type="dxa"/>
          <w:bottom w:w="75" w:type="dxa"/>
          <w:right w:w="75" w:type="dxa"/>
        </w:tblCellMar>
        <w:tblLook w:val="04A0" w:firstRow="1" w:lastRow="0" w:firstColumn="1" w:lastColumn="0" w:noHBand="0" w:noVBand="1"/>
      </w:tblPr>
      <w:tblGrid>
        <w:gridCol w:w="675"/>
        <w:gridCol w:w="1622"/>
        <w:gridCol w:w="7268"/>
      </w:tblGrid>
      <w:tr w:rsidR="002C7BEF">
        <w:trPr>
          <w:trHeight w:val="537"/>
          <w:tblHeader/>
        </w:trPr>
        <w:tc>
          <w:tcPr>
            <w:tcW w:w="675" w:type="dxa"/>
            <w:tcBorders>
              <w:bottom w:val="single" w:sz="12" w:space="0" w:color="DDDDDD"/>
            </w:tcBorders>
            <w:shd w:val="clear" w:color="auto" w:fill="FFFFFF"/>
            <w:vAlign w:val="bottom"/>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Code</w:t>
            </w:r>
          </w:p>
        </w:tc>
        <w:tc>
          <w:tcPr>
            <w:tcW w:w="1622" w:type="dxa"/>
            <w:tcBorders>
              <w:bottom w:val="single" w:sz="12" w:space="0" w:color="DDDDDD"/>
            </w:tcBorders>
            <w:shd w:val="clear" w:color="auto" w:fill="FFFFFF"/>
            <w:vAlign w:val="bottom"/>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État</w:t>
            </w:r>
          </w:p>
        </w:tc>
        <w:tc>
          <w:tcPr>
            <w:tcW w:w="7268" w:type="dxa"/>
            <w:tcBorders>
              <w:bottom w:val="single" w:sz="12" w:space="0" w:color="DDDDDD"/>
            </w:tcBorders>
            <w:shd w:val="clear" w:color="auto" w:fill="FFFFFF"/>
            <w:vAlign w:val="bottom"/>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Description</w:t>
            </w:r>
          </w:p>
        </w:tc>
      </w:tr>
      <w:tr w:rsidR="002C7BEF">
        <w:trPr>
          <w:trHeight w:val="547"/>
        </w:trPr>
        <w:tc>
          <w:tcPr>
            <w:tcW w:w="675"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200</w:t>
            </w:r>
          </w:p>
        </w:tc>
        <w:tc>
          <w:tcPr>
            <w:tcW w:w="1622"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OK</w:t>
            </w:r>
          </w:p>
        </w:tc>
        <w:tc>
          <w:tcPr>
            <w:tcW w:w="7268"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Votre requête pourrait être traitée avec succès et les données avoir été retournées.</w:t>
            </w:r>
          </w:p>
        </w:tc>
      </w:tr>
      <w:tr w:rsidR="002C7BEF">
        <w:trPr>
          <w:trHeight w:val="547"/>
        </w:trPr>
        <w:tc>
          <w:tcPr>
            <w:tcW w:w="675"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304</w:t>
            </w:r>
          </w:p>
        </w:tc>
        <w:tc>
          <w:tcPr>
            <w:tcW w:w="1622"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Aucune modification</w:t>
            </w:r>
          </w:p>
        </w:tc>
        <w:tc>
          <w:tcPr>
            <w:tcW w:w="7268"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Aucune modification depuis l’horodatage fourni dans l’en-tête</w:t>
            </w:r>
            <w:r>
              <w:rPr>
                <w:rFonts w:ascii="Consolas" w:hAnsi="Consolas"/>
                <w:color w:val="C7254E"/>
                <w:sz w:val="19"/>
                <w:szCs w:val="19"/>
                <w:shd w:val="clear" w:color="auto" w:fill="F9F2F4"/>
                <w:lang w:val="fr-FR"/>
              </w:rPr>
              <w:t xml:space="preserve"> If-Modified-Since</w:t>
            </w:r>
            <w:r>
              <w:rPr>
                <w:rFonts w:ascii="Helvetica" w:hAnsi="Helvetica"/>
                <w:color w:val="555555"/>
                <w:sz w:val="21"/>
                <w:szCs w:val="21"/>
                <w:lang w:val="fr-FR"/>
              </w:rPr>
              <w:t>.</w:t>
            </w:r>
          </w:p>
        </w:tc>
      </w:tr>
      <w:tr w:rsidR="002C7BEF">
        <w:trPr>
          <w:trHeight w:val="790"/>
        </w:trPr>
        <w:tc>
          <w:tcPr>
            <w:tcW w:w="675"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400</w:t>
            </w:r>
          </w:p>
        </w:tc>
        <w:tc>
          <w:tcPr>
            <w:tcW w:w="1622"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Erreur de syntaxe</w:t>
            </w:r>
          </w:p>
        </w:tc>
        <w:tc>
          <w:tcPr>
            <w:tcW w:w="7268"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En cas de problème syntaxique ou sémantique avec les paramètres que vous avez fournis, le code d’état HTTP 400 sera retourné.</w:t>
            </w:r>
          </w:p>
        </w:tc>
      </w:tr>
      <w:tr w:rsidR="002C7BEF">
        <w:trPr>
          <w:trHeight w:val="537"/>
        </w:trPr>
        <w:tc>
          <w:tcPr>
            <w:tcW w:w="675"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404</w:t>
            </w:r>
          </w:p>
        </w:tc>
        <w:tc>
          <w:tcPr>
            <w:tcW w:w="1622"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Aucun résultat trouvé</w:t>
            </w:r>
          </w:p>
        </w:tc>
        <w:tc>
          <w:tcPr>
            <w:tcW w:w="7268"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Le code d’état HTTP 404 sera retourné si aucun résultat ne correspond à la requête.</w:t>
            </w:r>
          </w:p>
        </w:tc>
      </w:tr>
      <w:tr w:rsidR="002C7BEF">
        <w:trPr>
          <w:trHeight w:val="790"/>
        </w:trPr>
        <w:tc>
          <w:tcPr>
            <w:tcW w:w="675"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406</w:t>
            </w:r>
          </w:p>
        </w:tc>
        <w:tc>
          <w:tcPr>
            <w:tcW w:w="1622"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Inacceptable</w:t>
            </w:r>
          </w:p>
        </w:tc>
        <w:tc>
          <w:tcPr>
            <w:tcW w:w="7268"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Si vous demandez une représentation de ressource que nous ne prenons pas en charge, le code d’état HTTP 406 sera retourné. Reportez-vous à la section sur</w:t>
            </w:r>
            <w:hyperlink r:id="rId35" w:anchor="tabContentNegotiation" w:history="1">
              <w:r>
                <w:rPr>
                  <w:rFonts w:ascii="Helvetica" w:hAnsi="Helvetica"/>
                  <w:color w:val="2FA4E7"/>
                  <w:sz w:val="21"/>
                  <w:szCs w:val="21"/>
                  <w:lang w:val="fr-FR"/>
                </w:rPr>
                <w:t xml:space="preserve"> la négociation de contenu</w:t>
              </w:r>
            </w:hyperlink>
            <w:r>
              <w:rPr>
                <w:rFonts w:ascii="Helvetica" w:hAnsi="Helvetica"/>
                <w:color w:val="2FA4E7"/>
                <w:sz w:val="21"/>
                <w:szCs w:val="21"/>
                <w:lang w:val="fr-FR"/>
              </w:rPr>
              <w:t xml:space="preserve"> (en anglais seulement)</w:t>
            </w:r>
            <w:r>
              <w:rPr>
                <w:rFonts w:ascii="Helvetica" w:hAnsi="Helvetica"/>
                <w:color w:val="555555"/>
                <w:sz w:val="21"/>
                <w:szCs w:val="21"/>
                <w:lang w:val="fr-FR"/>
              </w:rPr>
              <w:t xml:space="preserve"> pour visualiser les représentations prises en charge.</w:t>
            </w:r>
          </w:p>
        </w:tc>
      </w:tr>
      <w:tr w:rsidR="002C7BEF">
        <w:trPr>
          <w:trHeight w:val="790"/>
        </w:trPr>
        <w:tc>
          <w:tcPr>
            <w:tcW w:w="675" w:type="dxa"/>
            <w:tcBorders>
              <w:top w:val="single" w:sz="6" w:space="0" w:color="DDDDDD"/>
            </w:tcBorders>
            <w:shd w:val="clear" w:color="auto" w:fill="F5F5F5"/>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500</w:t>
            </w:r>
          </w:p>
        </w:tc>
        <w:tc>
          <w:tcPr>
            <w:tcW w:w="1622" w:type="dxa"/>
            <w:tcBorders>
              <w:top w:val="single" w:sz="6" w:space="0" w:color="DDDDDD"/>
            </w:tcBorders>
            <w:shd w:val="clear" w:color="auto" w:fill="F5F5F5"/>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Erreur interne du serveur</w:t>
            </w:r>
          </w:p>
        </w:tc>
        <w:tc>
          <w:tcPr>
            <w:tcW w:w="7268" w:type="dxa"/>
            <w:tcBorders>
              <w:top w:val="single" w:sz="6" w:space="0" w:color="DDDDDD"/>
            </w:tcBorders>
            <w:shd w:val="clear" w:color="auto" w:fill="F5F5F5"/>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En cas de problème de notre côté, le code d’état HTTP 500 sera retourné. N’hésitez pas à essayer de nouveau plus tard ou à communiquer avec notre assistance téléphonique.</w:t>
            </w:r>
          </w:p>
        </w:tc>
      </w:tr>
      <w:tr w:rsidR="002C7BEF">
        <w:trPr>
          <w:trHeight w:val="790"/>
        </w:trPr>
        <w:tc>
          <w:tcPr>
            <w:tcW w:w="675"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501</w:t>
            </w:r>
          </w:p>
        </w:tc>
        <w:tc>
          <w:tcPr>
            <w:tcW w:w="1622"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Aucune mise en œuvre</w:t>
            </w:r>
          </w:p>
        </w:tc>
        <w:tc>
          <w:tcPr>
            <w:tcW w:w="7268" w:type="dxa"/>
            <w:tcBorders>
              <w:top w:val="single" w:sz="6" w:space="0" w:color="DDDDDD"/>
            </w:tcBorders>
            <w:shd w:val="clear" w:color="auto" w:fill="F9F9F9"/>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Ce service Web offre un sous-ensemble de la fonctionnalité offerte par la spécification du service Web SDMX RESTful. Quand vous utilisez une fonction que nous n’avons pas encore mise en œuvre, le code d’état HTTP 501 sera retourné.</w:t>
            </w:r>
          </w:p>
        </w:tc>
      </w:tr>
      <w:tr w:rsidR="002C7BEF">
        <w:trPr>
          <w:trHeight w:val="537"/>
        </w:trPr>
        <w:tc>
          <w:tcPr>
            <w:tcW w:w="675"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b/>
                <w:bCs/>
                <w:color w:val="555555"/>
                <w:sz w:val="21"/>
                <w:szCs w:val="21"/>
              </w:rPr>
            </w:pPr>
            <w:r>
              <w:rPr>
                <w:rFonts w:ascii="Helvetica" w:hAnsi="Helvetica"/>
                <w:b/>
                <w:bCs/>
                <w:color w:val="555555"/>
                <w:sz w:val="21"/>
                <w:szCs w:val="21"/>
              </w:rPr>
              <w:t>503</w:t>
            </w:r>
          </w:p>
        </w:tc>
        <w:tc>
          <w:tcPr>
            <w:tcW w:w="1622"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rPr>
            </w:pPr>
            <w:r>
              <w:rPr>
                <w:rFonts w:ascii="Helvetica" w:hAnsi="Helvetica"/>
                <w:color w:val="555555"/>
                <w:sz w:val="21"/>
                <w:szCs w:val="21"/>
              </w:rPr>
              <w:t>Service non accessible</w:t>
            </w:r>
          </w:p>
        </w:tc>
        <w:tc>
          <w:tcPr>
            <w:tcW w:w="7268" w:type="dxa"/>
            <w:tcBorders>
              <w:top w:val="single" w:sz="6" w:space="0" w:color="DDDDDD"/>
            </w:tcBorders>
            <w:shd w:val="clear" w:color="auto" w:fill="FFFFFF"/>
          </w:tcPr>
          <w:p w:rsidR="002C7BEF" w:rsidRDefault="00BD037B">
            <w:pPr>
              <w:spacing w:after="300" w:line="240" w:lineRule="auto"/>
              <w:rPr>
                <w:rFonts w:ascii="Helvetica" w:eastAsia="Times New Roman" w:hAnsi="Helvetica" w:cs="Helvetica"/>
                <w:color w:val="555555"/>
                <w:sz w:val="21"/>
                <w:szCs w:val="21"/>
                <w:lang w:val="fr-FR"/>
              </w:rPr>
            </w:pPr>
            <w:r>
              <w:rPr>
                <w:rFonts w:ascii="Helvetica" w:hAnsi="Helvetica"/>
                <w:color w:val="555555"/>
                <w:sz w:val="21"/>
                <w:szCs w:val="21"/>
                <w:lang w:val="fr-FR"/>
              </w:rPr>
              <w:t>Si notre service Web est temporairement indisponible, le code d’état HTTP 503 sera retourné.</w:t>
            </w:r>
          </w:p>
        </w:tc>
      </w:tr>
    </w:tbl>
    <w:p w:rsidR="002C7BEF" w:rsidRDefault="002C7BEF">
      <w:pPr>
        <w:rPr>
          <w:lang w:val="fr-FR"/>
        </w:rPr>
      </w:pPr>
    </w:p>
    <w:p w:rsidR="002C7BEF" w:rsidRDefault="00BD037B">
      <w:pPr>
        <w:pStyle w:val="Heading1"/>
      </w:pPr>
      <w:bookmarkStart w:id="42" w:name="_Toc26177277"/>
      <w:bookmarkStart w:id="43" w:name="_Toc25835527"/>
      <w:bookmarkStart w:id="44" w:name="_Toc42610416"/>
      <w:r>
        <w:t>Conseils utiles</w:t>
      </w:r>
      <w:bookmarkEnd w:id="42"/>
      <w:bookmarkEnd w:id="43"/>
      <w:bookmarkEnd w:id="44"/>
    </w:p>
    <w:p w:rsidR="002C7BEF" w:rsidRDefault="00BD037B">
      <w:pPr>
        <w:shd w:val="clear" w:color="auto" w:fill="FFFFFF"/>
        <w:rPr>
          <w:rFonts w:ascii="Helvetica" w:hAnsi="Helvetica" w:cs="Helvetica"/>
          <w:color w:val="555555"/>
          <w:sz w:val="21"/>
          <w:szCs w:val="21"/>
          <w:lang w:val="fr-FR"/>
        </w:rPr>
      </w:pPr>
      <w:r>
        <w:rPr>
          <w:rFonts w:ascii="Helvetica" w:hAnsi="Helvetica"/>
          <w:color w:val="555555"/>
          <w:sz w:val="21"/>
          <w:szCs w:val="21"/>
          <w:lang w:val="fr-FR"/>
        </w:rPr>
        <w:t xml:space="preserve">Le groupe de travail technique SDMX publie une liste de </w:t>
      </w:r>
      <w:hyperlink r:id="rId36" w:tgtFrame="Conseils et astuces pour les clients du service Web">
        <w:r>
          <w:rPr>
            <w:rStyle w:val="Hyperlink"/>
            <w:rFonts w:ascii="Helvetica" w:hAnsi="Helvetica"/>
            <w:color w:val="2FA4E7"/>
            <w:sz w:val="21"/>
            <w:szCs w:val="21"/>
            <w:lang w:val="fr-FR"/>
          </w:rPr>
          <w:t>conseils et d’astuces pour les clients du service Web</w:t>
        </w:r>
      </w:hyperlink>
      <w:r>
        <w:rPr>
          <w:rStyle w:val="Hyperlink"/>
          <w:rFonts w:ascii="Helvetica" w:hAnsi="Helvetica"/>
          <w:color w:val="2FA4E7"/>
          <w:sz w:val="21"/>
          <w:szCs w:val="21"/>
          <w:lang w:val="fr-FR"/>
        </w:rPr>
        <w:t xml:space="preserve"> (en anglais seulement)</w:t>
      </w:r>
      <w:r>
        <w:rPr>
          <w:rFonts w:ascii="Helvetica" w:hAnsi="Helvetica"/>
          <w:color w:val="555555"/>
          <w:sz w:val="21"/>
          <w:szCs w:val="21"/>
          <w:lang w:val="fr-FR"/>
        </w:rPr>
        <w:t>, lesquels valent la peine d’être lus.</w:t>
      </w:r>
    </w:p>
    <w:p w:rsidR="002C7BEF" w:rsidRDefault="00BD037B">
      <w:pPr>
        <w:shd w:val="clear" w:color="auto" w:fill="FFFFFF"/>
        <w:rPr>
          <w:rFonts w:ascii="Helvetica" w:hAnsi="Helvetica" w:cs="Helvetica"/>
          <w:color w:val="555555"/>
          <w:sz w:val="21"/>
          <w:szCs w:val="21"/>
          <w:lang w:val="fr-FR"/>
        </w:rPr>
      </w:pPr>
      <w:r>
        <w:rPr>
          <w:rFonts w:ascii="Helvetica" w:hAnsi="Helvetica"/>
          <w:color w:val="555555"/>
          <w:sz w:val="21"/>
          <w:szCs w:val="21"/>
          <w:lang w:val="fr-FR"/>
        </w:rPr>
        <w:t xml:space="preserve">Le groupe de travail technique SDMX a également </w:t>
      </w:r>
      <w:hyperlink r:id="rId37" w:tgtFrame="Aide-mémoire des services Web SDMX">
        <w:r>
          <w:rPr>
            <w:rStyle w:val="Hyperlink"/>
            <w:rFonts w:ascii="Helvetica" w:hAnsi="Helvetica"/>
            <w:color w:val="2FA4E7"/>
            <w:sz w:val="21"/>
            <w:szCs w:val="21"/>
            <w:lang w:val="fr-FR"/>
          </w:rPr>
          <w:t>publié un aide-mémoire</w:t>
        </w:r>
      </w:hyperlink>
      <w:r>
        <w:rPr>
          <w:rFonts w:ascii="Helvetica" w:hAnsi="Helvetica"/>
          <w:color w:val="555555"/>
          <w:sz w:val="21"/>
          <w:szCs w:val="21"/>
          <w:lang w:val="fr-FR"/>
        </w:rPr>
        <w:t> (en anglais seulement) qui résume, sur deux pages A4, les principaux points de l’API SDMX 2.1 RESTful.</w:t>
      </w:r>
    </w:p>
    <w:p w:rsidR="002C7BEF" w:rsidRDefault="00BD037B">
      <w:pPr>
        <w:shd w:val="clear" w:color="auto" w:fill="FFFFFF"/>
        <w:rPr>
          <w:rFonts w:ascii="Helvetica" w:hAnsi="Helvetica" w:cs="Helvetica"/>
          <w:color w:val="555555"/>
          <w:sz w:val="21"/>
          <w:szCs w:val="21"/>
          <w:lang w:val="fr-FR"/>
        </w:rPr>
      </w:pPr>
      <w:r>
        <w:rPr>
          <w:rFonts w:ascii="Helvetica" w:hAnsi="Helvetica"/>
          <w:color w:val="555555"/>
          <w:sz w:val="21"/>
          <w:szCs w:val="21"/>
          <w:lang w:val="fr-FR"/>
        </w:rPr>
        <w:t>Si la documentation ne contient pas les renseignements dont vous avez besoin, ou si vous avez des commentaires généraux ou une rétroaction au sujet de notre service Web, veuillez</w:t>
      </w:r>
      <w:hyperlink r:id="rId38">
        <w:r>
          <w:rPr>
            <w:rStyle w:val="Hyperlink"/>
            <w:rFonts w:ascii="Helvetica" w:hAnsi="Helvetica"/>
            <w:color w:val="2FA4E7"/>
            <w:sz w:val="21"/>
            <w:szCs w:val="21"/>
            <w:u w:val="none"/>
            <w:lang w:val="fr-FR"/>
          </w:rPr>
          <w:t xml:space="preserve"> </w:t>
        </w:r>
        <w:r>
          <w:rPr>
            <w:rStyle w:val="Hyperlink"/>
            <w:rFonts w:ascii="Helvetica" w:hAnsi="Helvetica"/>
            <w:color w:val="2FA4E7"/>
            <w:sz w:val="21"/>
            <w:szCs w:val="21"/>
            <w:lang w:val="fr-FR"/>
          </w:rPr>
          <w:t>communiquer avec nous</w:t>
        </w:r>
      </w:hyperlink>
      <w:r>
        <w:rPr>
          <w:rFonts w:ascii="Helvetica" w:hAnsi="Helvetica"/>
          <w:color w:val="555555"/>
          <w:sz w:val="21"/>
          <w:szCs w:val="21"/>
          <w:lang w:val="fr-FR"/>
        </w:rPr>
        <w:t>.</w:t>
      </w:r>
    </w:p>
    <w:p w:rsidR="002C7BEF" w:rsidRDefault="00BD037B">
      <w:pPr>
        <w:pStyle w:val="NormalWeb"/>
        <w:shd w:val="clear" w:color="auto" w:fill="FFFFFF"/>
        <w:spacing w:beforeAutospacing="0" w:after="150" w:afterAutospacing="0"/>
        <w:rPr>
          <w:rFonts w:ascii="Helvetica" w:hAnsi="Helvetica" w:cs="Helvetica"/>
          <w:color w:val="555555"/>
          <w:sz w:val="21"/>
          <w:szCs w:val="21"/>
          <w:lang w:val="fr-FR"/>
        </w:rPr>
      </w:pPr>
      <w:r>
        <w:rPr>
          <w:rFonts w:ascii="Helvetica" w:hAnsi="Helvetica"/>
          <w:color w:val="555555"/>
          <w:sz w:val="21"/>
          <w:szCs w:val="21"/>
          <w:lang w:val="fr-FR"/>
        </w:rPr>
        <w:t>Toutes les requêtes d’échantillon dans le présent tutoriel peuvent également être exécutées à l’aide d’outils en ligne de commande comme </w:t>
      </w:r>
      <w:r>
        <w:rPr>
          <w:rStyle w:val="HTMLCode"/>
          <w:rFonts w:ascii="Consolas" w:hAnsi="Consolas"/>
          <w:color w:val="C7254E"/>
          <w:sz w:val="19"/>
          <w:szCs w:val="19"/>
          <w:shd w:val="clear" w:color="auto" w:fill="F9F2F4"/>
          <w:lang w:val="fr-FR"/>
        </w:rPr>
        <w:t>curl</w:t>
      </w:r>
      <w:r>
        <w:rPr>
          <w:rFonts w:ascii="Helvetica" w:hAnsi="Helvetica"/>
          <w:color w:val="555555"/>
          <w:sz w:val="21"/>
          <w:szCs w:val="21"/>
          <w:lang w:val="fr-FR"/>
        </w:rPr>
        <w:t> ou </w:t>
      </w:r>
      <w:r>
        <w:rPr>
          <w:rStyle w:val="HTMLCode"/>
          <w:rFonts w:ascii="Consolas" w:hAnsi="Consolas"/>
          <w:color w:val="C7254E"/>
          <w:sz w:val="19"/>
          <w:szCs w:val="19"/>
          <w:shd w:val="clear" w:color="auto" w:fill="F9F2F4"/>
          <w:lang w:val="fr-FR"/>
        </w:rPr>
        <w:t>wget</w:t>
      </w:r>
      <w:r>
        <w:rPr>
          <w:rFonts w:ascii="Helvetica" w:hAnsi="Helvetica"/>
          <w:color w:val="555555"/>
          <w:sz w:val="21"/>
          <w:szCs w:val="21"/>
          <w:lang w:val="fr-FR"/>
        </w:rPr>
        <w:t> :</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wget -O data.xml \</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--header="Accept:application/vnd.sdmx.structurespecificdata+xml;version=2.1" \</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https://sdw-wsrest.ecb.europa.eu/service/data/EXR/M.NOK.EUR.SP00.A</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curl -k -o data.xml \</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--header "Accept:application/vnd.sdmx.structurespecificdata+xml;version=2.1" \</w:t>
      </w:r>
    </w:p>
    <w:p w:rsidR="002C7BEF" w:rsidRDefault="00BD037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https://sdw-wsrest.ecb.europa.eu/service/data/EXR/M.NOK.EUR.SP00.A</w:t>
      </w:r>
    </w:p>
    <w:p w:rsidR="002C7BEF" w:rsidRDefault="00BD037B">
      <w:r>
        <w:br w:type="page"/>
      </w:r>
    </w:p>
    <w:p w:rsidR="002C7BEF" w:rsidRDefault="00BD037B" w:rsidP="00BD037B">
      <w:pPr>
        <w:pStyle w:val="Heading1"/>
        <w:rPr>
          <w:lang w:val="fr-FR"/>
        </w:rPr>
      </w:pPr>
      <w:bookmarkStart w:id="45" w:name="_Toc42610417"/>
      <w:r>
        <w:rPr>
          <w:lang w:val="fr-FR"/>
        </w:rPr>
        <w:t>Annexe 1</w:t>
      </w:r>
      <w:bookmarkEnd w:id="45"/>
    </w:p>
    <w:p w:rsidR="002C7BEF" w:rsidRDefault="00BD037B">
      <w:pPr>
        <w:rPr>
          <w:lang w:val="fr-FR"/>
        </w:rPr>
      </w:pPr>
      <w:r>
        <w:rPr>
          <w:lang w:val="fr-FR"/>
        </w:rPr>
        <w:t>Tableau 17100005 - Estimations de la population au 1er juillet, par âge et sexe1</w:t>
      </w:r>
    </w:p>
    <w:p w:rsidR="002C7BEF" w:rsidRDefault="00BD037B">
      <w:r>
        <w:rPr>
          <w:noProof/>
          <w:lang w:eastAsia="en-CA"/>
        </w:rPr>
        <w:drawing>
          <wp:inline distT="0" distB="0" distL="0" distR="0">
            <wp:extent cx="5943600" cy="2011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39"/>
                    <a:stretch>
                      <a:fillRect/>
                    </a:stretch>
                  </pic:blipFill>
                  <pic:spPr bwMode="auto">
                    <a:xfrm>
                      <a:off x="0" y="0"/>
                      <a:ext cx="5943600" cy="2011680"/>
                    </a:xfrm>
                    <a:prstGeom prst="rect">
                      <a:avLst/>
                    </a:prstGeom>
                  </pic:spPr>
                </pic:pic>
              </a:graphicData>
            </a:graphic>
          </wp:inline>
        </w:drawing>
      </w:r>
    </w:p>
    <w:p w:rsidR="002C7BEF" w:rsidRDefault="00BD037B">
      <w:r>
        <w:t>1</w:t>
      </w:r>
      <w:r>
        <w:rPr>
          <w:vertAlign w:val="superscript"/>
        </w:rPr>
        <w:t>ière</w:t>
      </w:r>
      <w:r>
        <w:t xml:space="preserve"> dimension – Géographie</w:t>
      </w:r>
    </w:p>
    <w:tbl>
      <w:tblPr>
        <w:tblW w:w="5840" w:type="dxa"/>
        <w:tblLook w:val="04A0" w:firstRow="1" w:lastRow="0" w:firstColumn="1" w:lastColumn="0" w:noHBand="0" w:noVBand="1"/>
      </w:tblPr>
      <w:tblGrid>
        <w:gridCol w:w="960"/>
        <w:gridCol w:w="4880"/>
      </w:tblGrid>
      <w:tr w:rsidR="002C7BEF">
        <w:trPr>
          <w:trHeight w:val="300"/>
        </w:trPr>
        <w:tc>
          <w:tcPr>
            <w:tcW w:w="96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Code</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Description</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Canada</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Terre-Neuve-et-Labrador</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Île-du-Prince-Édouard</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Nouvelle-Écosse</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Nouveau-Brunswick</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Québec</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Ontario</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Manitoba</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Saskatchewan</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Alberta</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Colombie-Britannique</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Yukon</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val="fr-FR" w:eastAsia="en-CA"/>
              </w:rPr>
            </w:pPr>
            <w:r>
              <w:rPr>
                <w:rFonts w:eastAsia="Times New Roman" w:cs="Calibri"/>
                <w:color w:val="000000"/>
                <w:lang w:val="fr-FR" w:eastAsia="en-CA"/>
              </w:rPr>
              <w:t>Territoires du Nord-Ouest incluant Nunavut</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14</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Territoires du Nord-Ouest</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15</w:t>
            </w:r>
          </w:p>
        </w:tc>
        <w:tc>
          <w:tcPr>
            <w:tcW w:w="487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Nunavut</w:t>
            </w:r>
          </w:p>
        </w:tc>
      </w:tr>
    </w:tbl>
    <w:p w:rsidR="002C7BEF" w:rsidRDefault="002C7BEF"/>
    <w:p w:rsidR="002C7BEF" w:rsidRDefault="00BD037B">
      <w:r>
        <w:t>2</w:t>
      </w:r>
      <w:r>
        <w:rPr>
          <w:vertAlign w:val="superscript"/>
        </w:rPr>
        <w:t>ième</w:t>
      </w:r>
      <w:r>
        <w:t xml:space="preserve"> dimension – Sexe</w:t>
      </w:r>
    </w:p>
    <w:tbl>
      <w:tblPr>
        <w:tblW w:w="3280" w:type="dxa"/>
        <w:tblLook w:val="04A0" w:firstRow="1" w:lastRow="0" w:firstColumn="1" w:lastColumn="0" w:noHBand="0" w:noVBand="1"/>
      </w:tblPr>
      <w:tblGrid>
        <w:gridCol w:w="960"/>
        <w:gridCol w:w="2320"/>
      </w:tblGrid>
      <w:tr w:rsidR="002C7BEF">
        <w:trPr>
          <w:trHeight w:val="300"/>
        </w:trPr>
        <w:tc>
          <w:tcPr>
            <w:tcW w:w="96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Code</w:t>
            </w:r>
          </w:p>
        </w:tc>
        <w:tc>
          <w:tcPr>
            <w:tcW w:w="231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Description</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w:t>
            </w:r>
          </w:p>
        </w:tc>
        <w:tc>
          <w:tcPr>
            <w:tcW w:w="231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Les deux sexes</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w:t>
            </w:r>
          </w:p>
        </w:tc>
        <w:tc>
          <w:tcPr>
            <w:tcW w:w="231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Hommes</w:t>
            </w:r>
          </w:p>
        </w:tc>
      </w:tr>
      <w:tr w:rsidR="002C7BEF">
        <w:trPr>
          <w:trHeight w:val="300"/>
        </w:trPr>
        <w:tc>
          <w:tcPr>
            <w:tcW w:w="960"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w:t>
            </w:r>
          </w:p>
        </w:tc>
        <w:tc>
          <w:tcPr>
            <w:tcW w:w="2319"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Femmes</w:t>
            </w:r>
          </w:p>
        </w:tc>
      </w:tr>
    </w:tbl>
    <w:p w:rsidR="002C7BEF" w:rsidRDefault="002C7BEF"/>
    <w:p w:rsidR="002C7BEF" w:rsidRDefault="00BD037B">
      <w:r>
        <w:t>3</w:t>
      </w:r>
      <w:r>
        <w:rPr>
          <w:vertAlign w:val="superscript"/>
        </w:rPr>
        <w:t>ième</w:t>
      </w:r>
      <w:r>
        <w:t xml:space="preserve"> dimension - Âge</w:t>
      </w:r>
    </w:p>
    <w:tbl>
      <w:tblPr>
        <w:tblW w:w="6260" w:type="dxa"/>
        <w:tblLook w:val="04A0" w:firstRow="1" w:lastRow="0" w:firstColumn="1" w:lastColumn="0" w:noHBand="0" w:noVBand="1"/>
      </w:tblPr>
      <w:tblGrid>
        <w:gridCol w:w="959"/>
        <w:gridCol w:w="5301"/>
      </w:tblGrid>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Tous Âges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an</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 an</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à 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 à 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10 à 14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15 à 19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29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20 à 24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25 à 29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39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30 à 34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49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35 à 39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40 à 44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59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45 à 49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50 à 54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69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55 à 59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79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60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65 à 69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70 à 74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75 à 79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80 à 84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89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85 à 89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90 ans et plus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à 14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à 15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à 16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0 à 17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15 à 49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15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16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17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99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18 à 24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18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18 ans et plus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25 à 44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45 à 64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65 ans et plus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Âge médian</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109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79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119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89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90 à 94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90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91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129</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92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130</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93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131</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94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132</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95 à 99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133</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95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134</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96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135</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97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136</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98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137</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99 ans</w:t>
            </w:r>
          </w:p>
        </w:tc>
      </w:tr>
      <w:tr w:rsidR="002C7BEF">
        <w:trPr>
          <w:trHeight w:val="300"/>
        </w:trPr>
        <w:tc>
          <w:tcPr>
            <w:tcW w:w="959" w:type="dxa"/>
            <w:shd w:val="clear" w:color="auto" w:fill="auto"/>
            <w:vAlign w:val="bottom"/>
          </w:tcPr>
          <w:p w:rsidR="002C7BEF" w:rsidRDefault="00BD037B">
            <w:pPr>
              <w:spacing w:after="0" w:line="240" w:lineRule="auto"/>
              <w:jc w:val="right"/>
              <w:rPr>
                <w:rFonts w:ascii="Calibri" w:eastAsia="Times New Roman" w:hAnsi="Calibri" w:cs="Calibri"/>
                <w:color w:val="000000"/>
                <w:lang w:eastAsia="en-CA"/>
              </w:rPr>
            </w:pPr>
            <w:r>
              <w:rPr>
                <w:rFonts w:eastAsia="Times New Roman" w:cs="Calibri"/>
                <w:color w:val="000000"/>
                <w:lang w:eastAsia="en-CA"/>
              </w:rPr>
              <w:t>138</w:t>
            </w:r>
          </w:p>
        </w:tc>
        <w:tc>
          <w:tcPr>
            <w:tcW w:w="5300" w:type="dxa"/>
            <w:shd w:val="clear" w:color="auto" w:fill="auto"/>
            <w:vAlign w:val="bottom"/>
          </w:tcPr>
          <w:p w:rsidR="002C7BEF" w:rsidRDefault="00BD037B">
            <w:pPr>
              <w:spacing w:after="0" w:line="240" w:lineRule="auto"/>
              <w:rPr>
                <w:rFonts w:ascii="Calibri" w:eastAsia="Times New Roman" w:hAnsi="Calibri" w:cs="Calibri"/>
                <w:color w:val="000000"/>
                <w:lang w:eastAsia="en-CA"/>
              </w:rPr>
            </w:pPr>
            <w:r>
              <w:rPr>
                <w:rFonts w:eastAsia="Times New Roman" w:cs="Calibri"/>
                <w:color w:val="000000"/>
                <w:lang w:eastAsia="en-CA"/>
              </w:rPr>
              <w:t>100 ans et plus</w:t>
            </w:r>
          </w:p>
        </w:tc>
      </w:tr>
    </w:tbl>
    <w:p w:rsidR="002C7BEF" w:rsidRDefault="002C7BEF"/>
    <w:p w:rsidR="00BD037B" w:rsidRDefault="00BD037B">
      <w:pPr>
        <w:spacing w:after="0" w:line="240" w:lineRule="auto"/>
      </w:pPr>
      <w:r>
        <w:br w:type="page"/>
      </w:r>
    </w:p>
    <w:p w:rsidR="00BD037B" w:rsidRDefault="00BD037B" w:rsidP="00BD037B">
      <w:pPr>
        <w:pStyle w:val="Heading1"/>
        <w:rPr>
          <w:lang w:val="fr-FR"/>
        </w:rPr>
      </w:pPr>
      <w:bookmarkStart w:id="46" w:name="_Toc42610418"/>
      <w:r>
        <w:rPr>
          <w:lang w:val="fr-FR"/>
        </w:rPr>
        <w:t xml:space="preserve">Annexe 2 : </w:t>
      </w:r>
      <w:r w:rsidRPr="00BD037B">
        <w:rPr>
          <w:lang w:val="fr-FR"/>
        </w:rPr>
        <w:t>Exemples utilisant CURL</w:t>
      </w:r>
      <w:bookmarkEnd w:id="46"/>
    </w:p>
    <w:p w:rsidR="002C7BEF" w:rsidRDefault="002C7BEF"/>
    <w:p w:rsidR="00BD037B" w:rsidRPr="006B15FB" w:rsidRDefault="00BD037B" w:rsidP="00BD037B">
      <w:pPr>
        <w:pStyle w:val="Heading2"/>
      </w:pPr>
      <w:bookmarkStart w:id="47" w:name="_Toc42610419"/>
      <w:r>
        <w:t>Exemples de structure SDMX</w:t>
      </w:r>
      <w:r w:rsidRPr="006B15FB">
        <w:t>:</w:t>
      </w:r>
      <w:bookmarkEnd w:id="47"/>
    </w:p>
    <w:p w:rsidR="00BD037B" w:rsidRDefault="00BD037B" w:rsidP="00BD037B"/>
    <w:p w:rsidR="00BD037B" w:rsidRDefault="00BD037B" w:rsidP="00BD037B">
      <w:r>
        <w:t>curl -X GET -k -i 'https://www150.statcan.gc.ca/t1/wds/sdmx/statcan/rest/structure/Data_Structure_13100101'</w:t>
      </w:r>
    </w:p>
    <w:p w:rsidR="00BD037B" w:rsidRDefault="00BD037B" w:rsidP="00BD037B">
      <w:r>
        <w:t>curl -X GET -k -i 'https://www150.statcan.gc.ca/t1/wds/sdmx/statcan/v1/rest/structure/Data_Structure_13100101'</w:t>
      </w:r>
    </w:p>
    <w:p w:rsidR="00BD037B" w:rsidRDefault="00BD037B" w:rsidP="00BD037B">
      <w:r>
        <w:t>pid=13100101</w:t>
      </w:r>
    </w:p>
    <w:p w:rsidR="00BD037B" w:rsidRDefault="00BD037B" w:rsidP="00BD037B">
      <w:r>
        <w:t>curl -X GET -k -H 'Accept: application/vnd.sdmx.structure+xml;version=2.1' -i 'https://www150.statcan.gc.ca/t1/wds/sdmx/statcan/rest/structure/Data_Structure_13100101'</w:t>
      </w:r>
    </w:p>
    <w:p w:rsidR="00BD037B" w:rsidRDefault="00BD037B" w:rsidP="00BD037B">
      <w:r>
        <w:t xml:space="preserve">curl -X GET -k -H 'Accept: application/vnd.sdmx.structure+xml;version=2.1' -i 'https://www150.statcan.gc.ca/t1/wds/sdmx/statcan/v1/rest/structure/Data_Structure_13100101' </w:t>
      </w:r>
    </w:p>
    <w:p w:rsidR="00BD037B" w:rsidRDefault="00BD037B" w:rsidP="00BD037B">
      <w:r>
        <w:t>pid=13100101</w:t>
      </w:r>
    </w:p>
    <w:p w:rsidR="00BD037B" w:rsidRDefault="00BD037B" w:rsidP="00BD037B"/>
    <w:p w:rsidR="00BD037B" w:rsidRDefault="00BD037B" w:rsidP="00BD037B">
      <w:r>
        <w:t xml:space="preserve">Header: </w:t>
      </w:r>
    </w:p>
    <w:p w:rsidR="00BD037B" w:rsidRDefault="00BD037B" w:rsidP="00BD037B">
      <w:r>
        <w:t>Accept: application/vnd.sdmx.structure+xml;version=2.1</w:t>
      </w:r>
    </w:p>
    <w:p w:rsidR="00BD037B" w:rsidRDefault="00BD037B" w:rsidP="00BD037B">
      <w:r>
        <w:t>curl -X GET -k -H 'Accept: application/xml' -i 'https://www150.statcan.gc.ca/t1/wds/sdmx/statcan/rest/structure/Data_Structure_13100101'</w:t>
      </w:r>
    </w:p>
    <w:p w:rsidR="00BD037B" w:rsidRDefault="00BD037B" w:rsidP="00BD037B">
      <w:r>
        <w:t>curl -X GET -k -H 'Accept: application/xml' -i 'https://www150.statcan.gc.ca/t1/wds/sdmx/statcan/v1/rest/structure/Data_Structure_13100101'</w:t>
      </w:r>
    </w:p>
    <w:p w:rsidR="00BD037B" w:rsidRDefault="00BD037B" w:rsidP="00BD037B">
      <w:r>
        <w:t>pid=13100101</w:t>
      </w:r>
    </w:p>
    <w:p w:rsidR="00BD037B" w:rsidRDefault="00BD037B" w:rsidP="00BD037B"/>
    <w:p w:rsidR="00BD037B" w:rsidRDefault="00BD037B" w:rsidP="00BD037B">
      <w:r>
        <w:t xml:space="preserve">Header: </w:t>
      </w:r>
    </w:p>
    <w:p w:rsidR="00BD037B" w:rsidRDefault="00BD037B" w:rsidP="00BD037B">
      <w:r>
        <w:t>Accept: application/xml</w:t>
      </w:r>
    </w:p>
    <w:p w:rsidR="00BD037B" w:rsidRDefault="00BD037B" w:rsidP="00BD037B">
      <w:pPr>
        <w:pStyle w:val="Heading2"/>
      </w:pPr>
      <w:bookmarkStart w:id="48" w:name="_Toc42610420"/>
      <w:r>
        <w:t>Exemples de données SDMX:</w:t>
      </w:r>
      <w:bookmarkEnd w:id="48"/>
    </w:p>
    <w:p w:rsidR="00BD037B" w:rsidRDefault="00BD037B" w:rsidP="00BD037B"/>
    <w:p w:rsidR="00BD037B" w:rsidRDefault="00BD037B" w:rsidP="00BD037B">
      <w:r>
        <w:t>curl -X GET -k -H 'Accept: application/vnd.sdmx.structurespecificdata+xml;version=2.1' -i 'https://www150.statcan.gc.ca/t1/wds/sdmx/statcan/rest/data/DF_13100101/1.1.1+2+3+4?startPeriod=2014&amp;endPeriod=2015'</w:t>
      </w:r>
    </w:p>
    <w:p w:rsidR="00BD037B" w:rsidRDefault="00BD037B" w:rsidP="00BD037B">
      <w:r>
        <w:t>curl -X GET -k -H 'Accept: application/vnd.sdmx.structurespecificdata+xml;version=2.1' -i 'https://www150.statcan.gc.ca/t1/wds/sdmx/statcan/v1/rest/data/DF_13100101/1.1.1+2+3+4?startPeriod=2014&amp;endPeriod=2015'</w:t>
      </w:r>
    </w:p>
    <w:p w:rsidR="00BD037B" w:rsidRDefault="00BD037B" w:rsidP="00BD037B">
      <w:r>
        <w:t xml:space="preserve"> pid = 13100101</w:t>
      </w:r>
    </w:p>
    <w:p w:rsidR="00BD037B" w:rsidRDefault="00BD037B" w:rsidP="00BD037B"/>
    <w:p w:rsidR="00BD037B" w:rsidRDefault="00BD037B" w:rsidP="00BD037B">
      <w:r>
        <w:t>Header:</w:t>
      </w:r>
    </w:p>
    <w:p w:rsidR="00BD037B" w:rsidRDefault="00BD037B" w:rsidP="00BD037B">
      <w:r>
        <w:t>Accept: application/vnd.sdmx.structurespecificdata+xml;version=2.1</w:t>
      </w:r>
    </w:p>
    <w:p w:rsidR="00BD037B" w:rsidRPr="006B15FB" w:rsidRDefault="00BD037B" w:rsidP="00BD037B">
      <w:pPr>
        <w:rPr>
          <w:rStyle w:val="text-info"/>
          <w:rFonts w:cs="Calibri"/>
        </w:rPr>
      </w:pPr>
      <w:r w:rsidRPr="006B15FB">
        <w:rPr>
          <w:rStyle w:val="text-info"/>
          <w:rFonts w:cs="Calibri"/>
        </w:rPr>
        <w:t>dimensions are separated by "." and members are separated by "+".</w:t>
      </w:r>
      <w:r>
        <w:rPr>
          <w:rStyle w:val="text-info"/>
          <w:rFonts w:cs="Calibri"/>
        </w:rPr>
        <w:t xml:space="preserve"> </w:t>
      </w:r>
      <w:r w:rsidRPr="006B15FB">
        <w:rPr>
          <w:rStyle w:val="text-info"/>
          <w:rFonts w:cs="Calibri"/>
        </w:rPr>
        <w:t>The date format should be "yyyy-mm-dd". if value of "day" is missing, the default value is "01"</w:t>
      </w:r>
    </w:p>
    <w:p w:rsidR="00BD037B" w:rsidRDefault="00BD037B" w:rsidP="00BD037B"/>
    <w:p w:rsidR="00BD037B" w:rsidRDefault="00BD037B" w:rsidP="00BD037B">
      <w:r>
        <w:t>curl -X GET -k -H 'Accept: application/vnd.sdmx.data+json;version=1.0.0-wd' -i 'https://www150.statcan.gc.ca/t1/wds/sdmx/statcan/rest/data/DF_18100002/1.1+2?startPeriod=2018-01&amp;endPeriod=2018-05'</w:t>
      </w:r>
    </w:p>
    <w:p w:rsidR="00BD037B" w:rsidRDefault="00BD037B" w:rsidP="00BD037B">
      <w:r>
        <w:t>curl -X GET -k -H 'Accept: application/vnd.sdmx.data+json;version=1.0.0-wd' -i 'https://www150.statcan.gc.ca/t1/wds/sdmx/statcan/v1/rest/data/DF_18100002/1.1+2?startPeriod=2018-01&amp;endPeriod=2018-05'</w:t>
      </w:r>
    </w:p>
    <w:p w:rsidR="00BD037B" w:rsidRDefault="00BD037B" w:rsidP="00BD037B">
      <w:r>
        <w:t xml:space="preserve"> pid = 18100102</w:t>
      </w:r>
    </w:p>
    <w:p w:rsidR="00BD037B" w:rsidRDefault="00BD037B" w:rsidP="00BD037B"/>
    <w:p w:rsidR="00BD037B" w:rsidRDefault="00BD037B" w:rsidP="00BD037B">
      <w:r>
        <w:t>Header:</w:t>
      </w:r>
    </w:p>
    <w:p w:rsidR="00BD037B" w:rsidRDefault="00BD037B" w:rsidP="00BD037B">
      <w:r>
        <w:t>Accept: application/vnd.sdmx.data+json;version=1.0.0-wd</w:t>
      </w:r>
    </w:p>
    <w:p w:rsidR="00BD037B" w:rsidRDefault="00BD037B" w:rsidP="00BD037B">
      <w:r>
        <w:t>curl -X GET -k -H 'Accept: application/vnd.sdmx.genericdata+xml;version=2.1' -i 'https://www150.statcan.gc.ca/t1/wds/sdmx/statcan/rest/data/DF_13100101/1.1.1+2+3+4?startPeriod=2014&amp;endPeriod=2015'</w:t>
      </w:r>
    </w:p>
    <w:p w:rsidR="00BD037B" w:rsidRDefault="00BD037B" w:rsidP="00BD037B">
      <w:r>
        <w:t>curl -X GET -k -H 'Accept: application/vnd.sdmx.genericdata+xml;version=2.1' -i 'https://www150.statcan.gc.ca/t1/wds/sdmx/statcan/v1/rest/data/DF_13100101/1.1.1+2+3+4?startPeriod=2014&amp;endPeriod=2015'</w:t>
      </w:r>
    </w:p>
    <w:p w:rsidR="00BD037B" w:rsidRDefault="00BD037B" w:rsidP="00BD037B">
      <w:r>
        <w:t xml:space="preserve"> pid = 13100101</w:t>
      </w:r>
    </w:p>
    <w:p w:rsidR="00BD037B" w:rsidRDefault="00BD037B" w:rsidP="00BD037B"/>
    <w:p w:rsidR="00BD037B" w:rsidRDefault="00BD037B" w:rsidP="00BD037B">
      <w:r>
        <w:t>Header:</w:t>
      </w:r>
    </w:p>
    <w:p w:rsidR="00BD037B" w:rsidRDefault="00BD037B" w:rsidP="00BD037B">
      <w:r>
        <w:t>Accept: application/vnd.sdmx.genericdata+xml;version=2.1</w:t>
      </w:r>
    </w:p>
    <w:p w:rsidR="00BD037B" w:rsidRDefault="00BD037B" w:rsidP="00BD037B">
      <w:r>
        <w:t>curl -X GET -k -H 'Accept: application/xml' -i 'https://www150.statcan.gc.ca/t1/wds/sdmx/statcan/rest/data/DF_13100101/1.1.1+2+3+4?startPeriod=2014&amp;endPeriod=2015'</w:t>
      </w:r>
    </w:p>
    <w:p w:rsidR="00BD037B" w:rsidRDefault="00BD037B" w:rsidP="00BD037B">
      <w:r>
        <w:t>curl -X GET -k -H 'Accept: application/xml' -i 'https://www150.statcan.gc.ca/t1/wds/sdmx/statcan/v1/rest/data/DF_13100101/1.1.1+2+3+4?startPeriod=2014&amp;endPeriod=2015'</w:t>
      </w:r>
    </w:p>
    <w:p w:rsidR="00BD037B" w:rsidRDefault="00BD037B" w:rsidP="00BD037B">
      <w:r>
        <w:t xml:space="preserve"> pid = 13100101</w:t>
      </w:r>
    </w:p>
    <w:p w:rsidR="00BD037B" w:rsidRDefault="00BD037B" w:rsidP="00BD037B"/>
    <w:p w:rsidR="00BD037B" w:rsidRDefault="00BD037B" w:rsidP="00BD037B">
      <w:r>
        <w:t>Header:</w:t>
      </w:r>
    </w:p>
    <w:p w:rsidR="00BD037B" w:rsidRDefault="00BD037B" w:rsidP="00BD037B">
      <w:r>
        <w:t>Accept: application/xml</w:t>
      </w:r>
    </w:p>
    <w:p w:rsidR="00BD037B" w:rsidRDefault="00BD037B" w:rsidP="00BD037B">
      <w:r>
        <w:t>curl -X GET -k -H 'Accept: application/json' -i 'https://www150.statcan.gc.ca/t1/wds/sdmx/statcan/rest/data/DF_13100101/1.1.1+2+3+4?startPeriod=2014&amp;endPeriod=2015'</w:t>
      </w:r>
    </w:p>
    <w:p w:rsidR="00BD037B" w:rsidRDefault="00BD037B" w:rsidP="00BD037B">
      <w:r>
        <w:t>curl -X GET -k -H 'Accept: application/json' -i 'https://www150.statcan.gc.ca/t1/wds/sdmx/statcan/v1/rest/data/DF_13100101/1.1.1+2+3+4?startPeriod=2014&amp;endPeriod=2015'</w:t>
      </w:r>
    </w:p>
    <w:p w:rsidR="00BD037B" w:rsidRDefault="00BD037B" w:rsidP="00BD037B">
      <w:r>
        <w:t xml:space="preserve"> pid = 13100101</w:t>
      </w:r>
    </w:p>
    <w:p w:rsidR="00BD037B" w:rsidRDefault="00BD037B" w:rsidP="00BD037B"/>
    <w:p w:rsidR="00BD037B" w:rsidRDefault="00BD037B" w:rsidP="00BD037B">
      <w:r>
        <w:t>Header:</w:t>
      </w:r>
    </w:p>
    <w:p w:rsidR="00BD037B" w:rsidRDefault="00BD037B" w:rsidP="00BD037B">
      <w:r>
        <w:t>Accept: application/xml</w:t>
      </w:r>
    </w:p>
    <w:p w:rsidR="00BD037B" w:rsidRDefault="00BD037B" w:rsidP="00BD037B">
      <w:r>
        <w:t>curl -X GET -k -H 'Accept: application/json' -i 'https://www150.statcan.gc.ca/t1/wds/sdmx/statcan/rest/data/DF_13100101/1.1.1+2+3+4?firstNObservations=1'</w:t>
      </w:r>
    </w:p>
    <w:p w:rsidR="00BD037B" w:rsidRDefault="00BD037B" w:rsidP="00BD037B">
      <w:r>
        <w:t>curl -X GET -k -H 'Accept: application/json' -i 'https://www150.statcan.gc.ca/t1/wds/sdmx/statcan/v1/rest/data/DF_13100101/1.1.1+2+3+4?firstNObservations=1'</w:t>
      </w:r>
    </w:p>
    <w:p w:rsidR="00BD037B" w:rsidRDefault="00BD037B" w:rsidP="00BD037B">
      <w:r>
        <w:t>curl -X GET -k -H 'Accept: application/xml' -i 'https://www150.statcan.gc.ca/t1/wds/sdmx/statcan/rest/data/DF_13100101/1.1.1+2+3+4?lastNObservations=1'</w:t>
      </w:r>
    </w:p>
    <w:p w:rsidR="00BD037B" w:rsidRDefault="00BD037B" w:rsidP="00BD037B">
      <w:r>
        <w:t>curl -X GET -k -H 'Accept: application/xml' -i 'https://www150.statcan.gc.ca/t1/wds/sdmx/statcan/v1/rest/data/DF_13100101/1.1.1+2+3+4?lastNObservations=1'</w:t>
      </w:r>
    </w:p>
    <w:p w:rsidR="00BD037B" w:rsidRDefault="00BD037B" w:rsidP="00BD037B"/>
    <w:p w:rsidR="00BD037B" w:rsidRDefault="00BD037B" w:rsidP="00BD037B">
      <w:pPr>
        <w:pStyle w:val="Heading2"/>
      </w:pPr>
      <w:bookmarkStart w:id="49" w:name="_Toc42610421"/>
      <w:r>
        <w:t xml:space="preserve">Exemples utilisant </w:t>
      </w:r>
      <w:r>
        <w:rPr>
          <w:lang w:val="fr-FR"/>
        </w:rPr>
        <w:t>vecteur</w:t>
      </w:r>
      <w:bookmarkEnd w:id="49"/>
    </w:p>
    <w:p w:rsidR="00BD037B" w:rsidRDefault="00BD037B" w:rsidP="00BD037B">
      <w:r>
        <w:t>curl -X GET -k -H 'Accept: application/xml' -i 'https://www150.statcan.gc.ca/t1/wds/sdmx/statcan/rest/vector/v114809245?lastNObservations=1'</w:t>
      </w:r>
    </w:p>
    <w:p w:rsidR="00BD037B" w:rsidRDefault="00BD037B" w:rsidP="00BD037B">
      <w:r>
        <w:t>curl -X GET -k -H 'Accept: application/xml' -i 'https://www150.statcan.gc.ca/t1/wds/sdmx/statcan/v1/rest/vector/v114809245?lastNObservations=1'</w:t>
      </w:r>
    </w:p>
    <w:p w:rsidR="00BD037B" w:rsidRDefault="00BD037B" w:rsidP="00BD037B">
      <w:r>
        <w:t>curl -X GET -k -H 'Accept: application/json' -i 'https://www150.statcan.gc.ca/t1/wds/sdmx/statcan/rest/vector/v114809245?firstNObservations=1'</w:t>
      </w:r>
    </w:p>
    <w:p w:rsidR="00BD037B" w:rsidRDefault="00BD037B" w:rsidP="00BD037B">
      <w:r>
        <w:t>curl -X GET -k -H 'Accept: application/json' -i 'https://www150.statcan.gc.ca/t1/wds/sdmx/statcan/v1/rest/vector/v114809245?firstNObservations=1'</w:t>
      </w:r>
    </w:p>
    <w:p w:rsidR="00BD037B" w:rsidRDefault="00BD037B"/>
    <w:sectPr w:rsidR="00BD037B">
      <w:footerReference w:type="default" r:id="rId40"/>
      <w:pgSz w:w="12240" w:h="15840"/>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88" w:rsidRDefault="00BD037B">
      <w:pPr>
        <w:spacing w:after="0" w:line="240" w:lineRule="auto"/>
      </w:pPr>
      <w:r>
        <w:separator/>
      </w:r>
    </w:p>
  </w:endnote>
  <w:endnote w:type="continuationSeparator" w:id="0">
    <w:p w:rsidR="003C4488" w:rsidRDefault="00BD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26983"/>
      <w:docPartObj>
        <w:docPartGallery w:val="Page Numbers (Bottom of Page)"/>
        <w:docPartUnique/>
      </w:docPartObj>
    </w:sdtPr>
    <w:sdtEndPr/>
    <w:sdtContent>
      <w:p w:rsidR="002C7BEF" w:rsidRDefault="00BD037B">
        <w:pPr>
          <w:pStyle w:val="Footer"/>
        </w:pPr>
        <w:r>
          <w:fldChar w:fldCharType="begin"/>
        </w:r>
        <w:r>
          <w:instrText>PAGE</w:instrText>
        </w:r>
        <w:r>
          <w:fldChar w:fldCharType="separate"/>
        </w:r>
        <w:r w:rsidR="00206198">
          <w:rPr>
            <w:noProof/>
          </w:rPr>
          <w:t>1</w:t>
        </w:r>
        <w:r>
          <w:fldChar w:fldCharType="end"/>
        </w:r>
      </w:p>
    </w:sdtContent>
  </w:sdt>
  <w:p w:rsidR="002C7BEF" w:rsidRDefault="002C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88" w:rsidRDefault="00BD037B">
      <w:pPr>
        <w:spacing w:after="0" w:line="240" w:lineRule="auto"/>
      </w:pPr>
      <w:r>
        <w:separator/>
      </w:r>
    </w:p>
  </w:footnote>
  <w:footnote w:type="continuationSeparator" w:id="0">
    <w:p w:rsidR="003C4488" w:rsidRDefault="00BD0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BFF"/>
    <w:multiLevelType w:val="multilevel"/>
    <w:tmpl w:val="6E589D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BAE45BC"/>
    <w:multiLevelType w:val="multilevel"/>
    <w:tmpl w:val="1932E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217EA0"/>
    <w:multiLevelType w:val="multilevel"/>
    <w:tmpl w:val="4AA611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935272"/>
    <w:multiLevelType w:val="multilevel"/>
    <w:tmpl w:val="3398B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79A0433"/>
    <w:multiLevelType w:val="multilevel"/>
    <w:tmpl w:val="8BD4E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39E6F00"/>
    <w:multiLevelType w:val="multilevel"/>
    <w:tmpl w:val="4FACF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CAC5F29"/>
    <w:multiLevelType w:val="multilevel"/>
    <w:tmpl w:val="039E3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E0B7958"/>
    <w:multiLevelType w:val="multilevel"/>
    <w:tmpl w:val="0388EC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7014001"/>
    <w:multiLevelType w:val="multilevel"/>
    <w:tmpl w:val="72E6735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F"/>
    <w:rsid w:val="00206198"/>
    <w:rsid w:val="002C7BEF"/>
    <w:rsid w:val="002E192B"/>
    <w:rsid w:val="003C4488"/>
    <w:rsid w:val="00BD037B"/>
    <w:rsid w:val="00CA01A8"/>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6ADB1FD-85E1-4897-A531-32D0356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7B"/>
    <w:pPr>
      <w:spacing w:after="160" w:line="259" w:lineRule="auto"/>
    </w:pPr>
  </w:style>
  <w:style w:type="paragraph" w:styleId="Heading1">
    <w:name w:val="heading 1"/>
    <w:basedOn w:val="Normal"/>
    <w:next w:val="Normal"/>
    <w:link w:val="Heading1Char"/>
    <w:uiPriority w:val="9"/>
    <w:qFormat/>
    <w:rsid w:val="00EA2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4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20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A20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30D96"/>
    <w:rPr>
      <w:color w:val="0563C1" w:themeColor="hyperlink"/>
      <w:u w:val="single"/>
    </w:rPr>
  </w:style>
  <w:style w:type="character" w:styleId="FollowedHyperlink">
    <w:name w:val="FollowedHyperlink"/>
    <w:basedOn w:val="DefaultParagraphFont"/>
    <w:uiPriority w:val="99"/>
    <w:semiHidden/>
    <w:unhideWhenUsed/>
    <w:rsid w:val="00E30D96"/>
    <w:rPr>
      <w:color w:val="954F72" w:themeColor="followedHyperlink"/>
      <w:u w:val="single"/>
    </w:rPr>
  </w:style>
  <w:style w:type="character" w:customStyle="1" w:styleId="Heading3Char">
    <w:name w:val="Heading 3 Char"/>
    <w:basedOn w:val="DefaultParagraphFont"/>
    <w:link w:val="Heading3"/>
    <w:uiPriority w:val="9"/>
    <w:qFormat/>
    <w:rsid w:val="000346BF"/>
    <w:rPr>
      <w:rFonts w:asciiTheme="majorHAnsi" w:eastAsiaTheme="majorEastAsia" w:hAnsiTheme="majorHAnsi" w:cstheme="majorBidi"/>
      <w:color w:val="1F4D78" w:themeColor="accent1" w:themeShade="7F"/>
      <w:sz w:val="24"/>
      <w:szCs w:val="24"/>
    </w:rPr>
  </w:style>
  <w:style w:type="character" w:customStyle="1" w:styleId="text-info1">
    <w:name w:val="text-info1"/>
    <w:basedOn w:val="DefaultParagraphFont"/>
    <w:qFormat/>
    <w:rsid w:val="000346BF"/>
    <w:rPr>
      <w:color w:val="3A87AD"/>
    </w:rPr>
  </w:style>
  <w:style w:type="character" w:customStyle="1" w:styleId="text-primary1">
    <w:name w:val="text-primary1"/>
    <w:basedOn w:val="DefaultParagraphFont"/>
    <w:qFormat/>
    <w:rsid w:val="000346BF"/>
    <w:rPr>
      <w:color w:val="2FA4E7"/>
    </w:rPr>
  </w:style>
  <w:style w:type="character" w:customStyle="1" w:styleId="text-muted1">
    <w:name w:val="text-muted1"/>
    <w:basedOn w:val="DefaultParagraphFont"/>
    <w:qFormat/>
    <w:rsid w:val="000346BF"/>
    <w:rPr>
      <w:color w:val="999999"/>
    </w:rPr>
  </w:style>
  <w:style w:type="character" w:customStyle="1" w:styleId="HTMLPreformattedChar">
    <w:name w:val="HTML Preformatted Char"/>
    <w:basedOn w:val="DefaultParagraphFont"/>
    <w:link w:val="HTMLPreformatted"/>
    <w:uiPriority w:val="99"/>
    <w:semiHidden/>
    <w:qFormat/>
    <w:rsid w:val="000346BF"/>
    <w:rPr>
      <w:rFonts w:ascii="Courier New" w:eastAsia="Times New Roman" w:hAnsi="Courier New" w:cs="Courier New"/>
      <w:sz w:val="20"/>
      <w:szCs w:val="20"/>
      <w:lang w:eastAsia="en-CA"/>
    </w:rPr>
  </w:style>
  <w:style w:type="character" w:customStyle="1" w:styleId="text-primary">
    <w:name w:val="text-primary"/>
    <w:basedOn w:val="DefaultParagraphFont"/>
    <w:qFormat/>
    <w:rsid w:val="000346BF"/>
  </w:style>
  <w:style w:type="character" w:customStyle="1" w:styleId="text-info">
    <w:name w:val="text-info"/>
    <w:basedOn w:val="DefaultParagraphFont"/>
    <w:qFormat/>
    <w:rsid w:val="000346BF"/>
  </w:style>
  <w:style w:type="character" w:styleId="HTMLCode">
    <w:name w:val="HTML Code"/>
    <w:basedOn w:val="DefaultParagraphFont"/>
    <w:uiPriority w:val="99"/>
    <w:semiHidden/>
    <w:unhideWhenUsed/>
    <w:qFormat/>
    <w:rsid w:val="00D1360D"/>
    <w:rPr>
      <w:rFonts w:ascii="Courier New" w:eastAsia="Times New Roman" w:hAnsi="Courier New" w:cs="Courier New"/>
      <w:sz w:val="20"/>
      <w:szCs w:val="20"/>
    </w:rPr>
  </w:style>
  <w:style w:type="character" w:styleId="Strong">
    <w:name w:val="Strong"/>
    <w:basedOn w:val="DefaultParagraphFont"/>
    <w:uiPriority w:val="22"/>
    <w:qFormat/>
    <w:rsid w:val="005D26A9"/>
    <w:rPr>
      <w:b/>
      <w:bCs/>
    </w:rPr>
  </w:style>
  <w:style w:type="character" w:customStyle="1" w:styleId="HeaderChar">
    <w:name w:val="Header Char"/>
    <w:basedOn w:val="DefaultParagraphFont"/>
    <w:link w:val="Header"/>
    <w:uiPriority w:val="99"/>
    <w:qFormat/>
    <w:rsid w:val="0092510E"/>
  </w:style>
  <w:style w:type="character" w:customStyle="1" w:styleId="FooterChar">
    <w:name w:val="Footer Char"/>
    <w:basedOn w:val="DefaultParagraphFont"/>
    <w:link w:val="Footer"/>
    <w:uiPriority w:val="99"/>
    <w:qFormat/>
    <w:rsid w:val="0092510E"/>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6672F"/>
    <w:pPr>
      <w:ind w:left="720"/>
      <w:contextualSpacing/>
    </w:pPr>
  </w:style>
  <w:style w:type="paragraph" w:styleId="HTMLPreformatted">
    <w:name w:val="HTML Preformatted"/>
    <w:basedOn w:val="Normal"/>
    <w:link w:val="HTMLPreformattedChar"/>
    <w:uiPriority w:val="99"/>
    <w:semiHidden/>
    <w:unhideWhenUsed/>
    <w:qFormat/>
    <w:rsid w:val="0003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paragraph" w:styleId="NormalWeb">
    <w:name w:val="Normal (Web)"/>
    <w:basedOn w:val="Normal"/>
    <w:uiPriority w:val="99"/>
    <w:semiHidden/>
    <w:unhideWhenUsed/>
    <w:qFormat/>
    <w:rsid w:val="00D1360D"/>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list-group-item-text">
    <w:name w:val="list-group-item-text"/>
    <w:basedOn w:val="Normal"/>
    <w:qFormat/>
    <w:rsid w:val="005D26A9"/>
    <w:pPr>
      <w:spacing w:beforeAutospacing="1"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B30E4B"/>
    <w:rPr>
      <w:lang w:val="en-US"/>
    </w:rPr>
  </w:style>
  <w:style w:type="paragraph" w:styleId="TOC1">
    <w:name w:val="toc 1"/>
    <w:basedOn w:val="Normal"/>
    <w:next w:val="Normal"/>
    <w:autoRedefine/>
    <w:uiPriority w:val="39"/>
    <w:unhideWhenUsed/>
    <w:rsid w:val="00B30E4B"/>
    <w:pPr>
      <w:spacing w:after="100"/>
    </w:pPr>
  </w:style>
  <w:style w:type="paragraph" w:styleId="TOC2">
    <w:name w:val="toc 2"/>
    <w:basedOn w:val="Normal"/>
    <w:next w:val="Normal"/>
    <w:autoRedefine/>
    <w:uiPriority w:val="39"/>
    <w:unhideWhenUsed/>
    <w:rsid w:val="00B30E4B"/>
    <w:pPr>
      <w:spacing w:after="100"/>
      <w:ind w:left="220"/>
    </w:pPr>
  </w:style>
  <w:style w:type="paragraph" w:styleId="TOC3">
    <w:name w:val="toc 3"/>
    <w:basedOn w:val="Normal"/>
    <w:next w:val="Normal"/>
    <w:autoRedefine/>
    <w:uiPriority w:val="39"/>
    <w:unhideWhenUsed/>
    <w:rsid w:val="00B30E4B"/>
    <w:pPr>
      <w:spacing w:after="100"/>
      <w:ind w:left="44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2510E"/>
    <w:pPr>
      <w:tabs>
        <w:tab w:val="center" w:pos="4680"/>
        <w:tab w:val="right" w:pos="9360"/>
      </w:tabs>
      <w:spacing w:after="0" w:line="240" w:lineRule="auto"/>
    </w:pPr>
  </w:style>
  <w:style w:type="paragraph" w:styleId="Footer">
    <w:name w:val="footer"/>
    <w:basedOn w:val="Normal"/>
    <w:link w:val="FooterChar"/>
    <w:uiPriority w:val="99"/>
    <w:unhideWhenUsed/>
    <w:rsid w:val="0092510E"/>
    <w:pPr>
      <w:tabs>
        <w:tab w:val="center" w:pos="4680"/>
        <w:tab w:val="right" w:pos="9360"/>
      </w:tabs>
      <w:spacing w:after="0" w:line="240" w:lineRule="auto"/>
    </w:pPr>
  </w:style>
  <w:style w:type="paragraph" w:styleId="IndexHeading">
    <w:name w:val="index heading"/>
    <w:basedOn w:val="Heading"/>
    <w:pPr>
      <w:suppressLineNumbers/>
    </w:pPr>
    <w:rPr>
      <w:b/>
      <w:bCs/>
      <w:sz w:val="32"/>
      <w:szCs w:val="32"/>
    </w:rPr>
  </w:style>
  <w:style w:type="paragraph" w:styleId="TOAHeading">
    <w:name w:val="toa heading"/>
    <w:basedOn w:val="IndexHeading"/>
  </w:style>
  <w:style w:type="table" w:styleId="TableGrid">
    <w:name w:val="Table Grid"/>
    <w:basedOn w:val="TableNormal"/>
    <w:uiPriority w:val="39"/>
    <w:rsid w:val="009A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192B"/>
    <w:rPr>
      <w:sz w:val="16"/>
      <w:szCs w:val="16"/>
    </w:rPr>
  </w:style>
  <w:style w:type="paragraph" w:styleId="CommentText">
    <w:name w:val="annotation text"/>
    <w:basedOn w:val="Normal"/>
    <w:link w:val="CommentTextChar"/>
    <w:uiPriority w:val="99"/>
    <w:semiHidden/>
    <w:unhideWhenUsed/>
    <w:rsid w:val="002E192B"/>
    <w:pPr>
      <w:spacing w:line="240" w:lineRule="auto"/>
    </w:pPr>
    <w:rPr>
      <w:sz w:val="20"/>
      <w:szCs w:val="20"/>
    </w:rPr>
  </w:style>
  <w:style w:type="character" w:customStyle="1" w:styleId="CommentTextChar">
    <w:name w:val="Comment Text Char"/>
    <w:basedOn w:val="DefaultParagraphFont"/>
    <w:link w:val="CommentText"/>
    <w:uiPriority w:val="99"/>
    <w:semiHidden/>
    <w:rsid w:val="002E192B"/>
    <w:rPr>
      <w:sz w:val="20"/>
      <w:szCs w:val="20"/>
    </w:rPr>
  </w:style>
  <w:style w:type="paragraph" w:styleId="CommentSubject">
    <w:name w:val="annotation subject"/>
    <w:basedOn w:val="CommentText"/>
    <w:next w:val="CommentText"/>
    <w:link w:val="CommentSubjectChar"/>
    <w:uiPriority w:val="99"/>
    <w:semiHidden/>
    <w:unhideWhenUsed/>
    <w:rsid w:val="002E192B"/>
    <w:rPr>
      <w:b/>
      <w:bCs/>
    </w:rPr>
  </w:style>
  <w:style w:type="character" w:customStyle="1" w:styleId="CommentSubjectChar">
    <w:name w:val="Comment Subject Char"/>
    <w:basedOn w:val="CommentTextChar"/>
    <w:link w:val="CommentSubject"/>
    <w:uiPriority w:val="99"/>
    <w:semiHidden/>
    <w:rsid w:val="002E192B"/>
    <w:rPr>
      <w:b/>
      <w:bCs/>
      <w:sz w:val="20"/>
      <w:szCs w:val="20"/>
    </w:rPr>
  </w:style>
  <w:style w:type="paragraph" w:styleId="BalloonText">
    <w:name w:val="Balloon Text"/>
    <w:basedOn w:val="Normal"/>
    <w:link w:val="BalloonTextChar"/>
    <w:uiPriority w:val="99"/>
    <w:semiHidden/>
    <w:unhideWhenUsed/>
    <w:rsid w:val="002E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mx.org/"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s://fr.wikipedia.org/wiki/Liste_des_codes_HTT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http://sdmx.org/wp-content/uploads/2011/08/SDMX_2-1-1_SECTION_3A_SDMX_ML_201108.zip" TargetMode="External"/><Relationship Id="rId38" Type="http://schemas.openxmlformats.org/officeDocument/2006/relationships/hyperlink" Target="mailto:statistics@ecb.europa.eu?subject=Service%20Web%20SDMX"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hyperlink" Target="https://github.com/sdmx-twg/sdmx-prototype-json/tree/master/draft-sdmx-json" TargetMode="External"/><Relationship Id="rId37" Type="http://schemas.openxmlformats.org/officeDocument/2006/relationships/hyperlink" Target="https://github.com/sdmx-twg/sdmx-rest/blob/master/v2_1/ws/rest/docs/rest_cheat_sheet.pdf?raw=tru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1.bin"/><Relationship Id="rId36" Type="http://schemas.openxmlformats.org/officeDocument/2006/relationships/hyperlink" Target="https://github.com/sdmx-twg/sdmx-rest/wiki/Tips-for-consumers"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0.emf"/><Relationship Id="rId35" Type="http://schemas.openxmlformats.org/officeDocument/2006/relationships/hyperlink" Target="https://sdw-wsrest.ecb.europa.eu/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A1C9-7CF7-4947-A421-5022F8CE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4376</Words>
  <Characters>24949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29267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Crête, Stéphane - SISD/DSIS</dc:creator>
  <dc:description/>
  <cp:lastModifiedBy>Trowsse, Justin - DISS/DIFF</cp:lastModifiedBy>
  <cp:revision>2</cp:revision>
  <dcterms:created xsi:type="dcterms:W3CDTF">2022-01-18T15:39:00Z</dcterms:created>
  <dcterms:modified xsi:type="dcterms:W3CDTF">2022-01-18T15:39:00Z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StatCan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